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A2" w:rsidRPr="00263F91" w:rsidRDefault="00275452" w:rsidP="00851CF3">
      <w:pPr>
        <w:jc w:val="center"/>
        <w:rPr>
          <w:rFonts w:ascii="Tahoma" w:hAnsi="Tahoma" w:cs="Tahoma"/>
          <w:b/>
          <w:bCs/>
          <w:sz w:val="32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231140</wp:posOffset>
            </wp:positionV>
            <wp:extent cx="914400" cy="914400"/>
            <wp:effectExtent l="19050" t="0" r="0" b="0"/>
            <wp:wrapSquare wrapText="bothSides"/>
            <wp:docPr id="2" name="Imagen 12" descr="escudo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escudou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1A2" w:rsidRPr="00263F91" w:rsidRDefault="00D111A2" w:rsidP="00471965">
      <w:pPr>
        <w:spacing w:after="0"/>
        <w:ind w:left="1080"/>
        <w:rPr>
          <w:rFonts w:ascii="Impact" w:hAnsi="Impact" w:cs="Tahoma"/>
          <w:b/>
          <w:bCs/>
          <w:color w:val="76923C"/>
          <w:sz w:val="28"/>
          <w:szCs w:val="28"/>
          <w:lang w:val="es-ES"/>
        </w:rPr>
      </w:pPr>
      <w:r w:rsidRPr="00263F91">
        <w:rPr>
          <w:rFonts w:ascii="Impact" w:hAnsi="Impact" w:cs="Tahoma"/>
          <w:bCs/>
          <w:color w:val="990033"/>
          <w:sz w:val="28"/>
          <w:szCs w:val="28"/>
          <w:lang w:val="es-ES"/>
        </w:rPr>
        <w:t xml:space="preserve"> Facultad de</w:t>
      </w:r>
      <w:r w:rsidRPr="00263F91">
        <w:rPr>
          <w:rFonts w:ascii="Impact" w:hAnsi="Impact" w:cs="Tahoma"/>
          <w:b/>
          <w:bCs/>
          <w:sz w:val="28"/>
          <w:szCs w:val="28"/>
          <w:lang w:val="es-ES"/>
        </w:rPr>
        <w:t xml:space="preserve"> </w:t>
      </w:r>
      <w:r w:rsidRPr="00263F91">
        <w:rPr>
          <w:rFonts w:ascii="Impact" w:hAnsi="Impact" w:cs="Tahoma"/>
          <w:bCs/>
          <w:color w:val="76923C"/>
          <w:sz w:val="48"/>
          <w:szCs w:val="48"/>
          <w:lang w:val="es-ES"/>
        </w:rPr>
        <w:t>Veterinaria</w:t>
      </w:r>
    </w:p>
    <w:p w:rsidR="00D111A2" w:rsidRPr="00263F91" w:rsidRDefault="00D111A2" w:rsidP="00471965">
      <w:pPr>
        <w:spacing w:after="0"/>
        <w:ind w:left="1080"/>
        <w:rPr>
          <w:rFonts w:ascii="Impact" w:hAnsi="Impact" w:cs="Tahoma"/>
          <w:b/>
          <w:bCs/>
          <w:color w:val="808080"/>
          <w:lang w:val="es-ES"/>
        </w:rPr>
      </w:pPr>
      <w:r w:rsidRPr="00263F91">
        <w:rPr>
          <w:rFonts w:ascii="Impact" w:hAnsi="Impact" w:cs="Tahoma"/>
          <w:b/>
          <w:bCs/>
          <w:color w:val="808080"/>
          <w:lang w:val="es-ES"/>
        </w:rPr>
        <w:t xml:space="preserve"> Universidad Complutense</w:t>
      </w:r>
    </w:p>
    <w:p w:rsidR="00D111A2" w:rsidRPr="00263F91" w:rsidRDefault="00D111A2" w:rsidP="00471965">
      <w:pPr>
        <w:spacing w:after="0"/>
        <w:ind w:left="1080"/>
        <w:rPr>
          <w:rFonts w:ascii="Impact" w:hAnsi="Impact" w:cs="Tahoma"/>
          <w:b/>
          <w:bCs/>
          <w:color w:val="808080"/>
          <w:lang w:val="es-ES"/>
        </w:rPr>
      </w:pPr>
      <w:r w:rsidRPr="00263F91">
        <w:rPr>
          <w:noProof/>
          <w:lang w:val="es-ES" w:eastAsia="es-ES"/>
        </w:rPr>
        <w:pict>
          <v:group id="_x0000_s1027" style="position:absolute;left:0;text-align:left;margin-left:2.4pt;margin-top:6.3pt;width:417.65pt;height:2.5pt;z-index:251658240" coordorigin="2628,2440" coordsize="8353,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628;top:2440;width:8353;height:0" o:connectortype="straight" strokecolor="#76923c" strokeweight="2pt"/>
            <v:shape id="_x0000_s1029" type="#_x0000_t32" style="position:absolute;left:2628;top:2490;width:8353;height:0" o:connectortype="straight" strokecolor="#903" strokeweight="2pt"/>
          </v:group>
        </w:pict>
      </w:r>
    </w:p>
    <w:p w:rsidR="00D111A2" w:rsidRPr="00263F91" w:rsidRDefault="00D111A2" w:rsidP="00E70CB8">
      <w:pPr>
        <w:spacing w:after="100" w:afterAutospacing="1" w:line="240" w:lineRule="auto"/>
        <w:ind w:left="1080" w:right="-428"/>
        <w:jc w:val="right"/>
        <w:rPr>
          <w:rFonts w:ascii="Impact" w:hAnsi="Impact" w:cs="Tahoma"/>
          <w:b/>
          <w:bCs/>
          <w:smallCaps/>
          <w:color w:val="808080"/>
          <w:sz w:val="24"/>
          <w:szCs w:val="24"/>
          <w:lang w:val="es-ES"/>
        </w:rPr>
      </w:pPr>
      <w:r w:rsidRPr="00263F91">
        <w:rPr>
          <w:rFonts w:ascii="Impact" w:hAnsi="Impact" w:cs="Tahoma"/>
          <w:b/>
          <w:bCs/>
          <w:color w:val="808080"/>
          <w:sz w:val="24"/>
          <w:szCs w:val="24"/>
          <w:lang w:val="es-ES"/>
        </w:rPr>
        <w:t>FICHA DE ASIGNATURA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2693"/>
        <w:gridCol w:w="2464"/>
      </w:tblGrid>
      <w:tr w:rsidR="00D111A2" w:rsidRPr="00263F91">
        <w:trPr>
          <w:trHeight w:val="645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spacing w:line="240" w:lineRule="auto"/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TITULACIÓN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spacing w:line="240" w:lineRule="auto"/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PLAN DE ESTUDIOS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spacing w:line="240" w:lineRule="auto"/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CURSO ACADÉMICO</w:t>
            </w:r>
          </w:p>
        </w:tc>
      </w:tr>
      <w:tr w:rsidR="00D111A2" w:rsidRPr="00263F91">
        <w:trPr>
          <w:trHeight w:val="292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ind w:left="582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VETERINARIA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ind w:left="509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97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FD5D2C" w:rsidP="00263F91">
            <w:pPr>
              <w:ind w:left="336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2013</w:t>
            </w:r>
            <w:r w:rsidR="00263F91" w:rsidRPr="00263F91">
              <w:rPr>
                <w:rFonts w:ascii="Tahoma" w:hAnsi="Tahoma" w:cs="Tahoma"/>
                <w:b/>
                <w:lang w:val="es-ES"/>
              </w:rPr>
              <w:t>-201</w:t>
            </w:r>
            <w:r>
              <w:rPr>
                <w:rFonts w:ascii="Tahoma" w:hAnsi="Tahoma" w:cs="Tahoma"/>
                <w:b/>
                <w:lang w:val="es-ES"/>
              </w:rPr>
              <w:t>4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5590"/>
      </w:tblGrid>
      <w:tr w:rsidR="00D111A2" w:rsidRPr="00263F91">
        <w:trPr>
          <w:trHeight w:val="29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Título de la Asignatura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2" w:rsidRPr="00263F91" w:rsidRDefault="00263F91" w:rsidP="00263F91">
            <w:pPr>
              <w:ind w:left="220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MICROBIOLOGIA CLÍNICA</w:t>
            </w:r>
          </w:p>
        </w:tc>
      </w:tr>
      <w:tr w:rsidR="00D111A2" w:rsidRPr="00263F91">
        <w:trPr>
          <w:trHeight w:val="29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Subject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2" w:rsidRPr="00263F91" w:rsidRDefault="002F47A4" w:rsidP="002F47A4">
            <w:pPr>
              <w:tabs>
                <w:tab w:val="left" w:pos="3007"/>
                <w:tab w:val="left" w:pos="3043"/>
              </w:tabs>
              <w:ind w:left="27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CLINICAL MICROBIOLOGY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5"/>
        <w:gridCol w:w="6015"/>
      </w:tblGrid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118" w:right="-569"/>
              <w:jc w:val="left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Código </w:t>
            </w:r>
            <w:r w:rsidRPr="00263F91">
              <w:rPr>
                <w:rFonts w:ascii="Tahoma" w:hAnsi="Tahoma" w:cs="Tahoma"/>
                <w:i/>
                <w:lang w:val="es-ES"/>
              </w:rPr>
              <w:t>(en GEA)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2" w:rsidRPr="00263F91" w:rsidRDefault="00D111A2" w:rsidP="00263F91">
            <w:pPr>
              <w:ind w:left="432" w:right="-569"/>
              <w:rPr>
                <w:rFonts w:ascii="Tahoma" w:hAnsi="Tahoma" w:cs="Tahoma"/>
                <w:b/>
                <w:lang w:val="es-ES"/>
              </w:rPr>
            </w:pPr>
          </w:p>
        </w:tc>
      </w:tr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i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Carácter</w:t>
            </w:r>
            <w:r w:rsidRPr="00263F91">
              <w:rPr>
                <w:rFonts w:ascii="Tahoma" w:hAnsi="Tahoma" w:cs="Tahoma"/>
                <w:i/>
                <w:lang w:val="es-ES"/>
              </w:rPr>
              <w:t>(Básica – Obligatoria – Optativa)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tabs>
                <w:tab w:val="left" w:pos="3007"/>
                <w:tab w:val="left" w:pos="3043"/>
              </w:tabs>
              <w:ind w:left="432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Genérica de libre elección </w:t>
            </w:r>
          </w:p>
        </w:tc>
      </w:tr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Duración (Anual- Semestral)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tabs>
                <w:tab w:val="left" w:pos="3007"/>
                <w:tab w:val="left" w:pos="3043"/>
              </w:tabs>
              <w:ind w:left="43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Cuatrimestral</w:t>
            </w:r>
          </w:p>
        </w:tc>
      </w:tr>
      <w:tr w:rsidR="00D111A2" w:rsidRPr="00263F91">
        <w:trPr>
          <w:trHeight w:hRule="exact" w:val="613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Horas semanales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tabs>
                <w:tab w:val="left" w:pos="3007"/>
                <w:tab w:val="left" w:pos="3043"/>
              </w:tabs>
              <w:ind w:left="432" w:right="-569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645"/>
        <w:gridCol w:w="1317"/>
        <w:gridCol w:w="236"/>
        <w:gridCol w:w="1422"/>
        <w:gridCol w:w="1496"/>
        <w:gridCol w:w="2029"/>
      </w:tblGrid>
      <w:tr w:rsidR="00D111A2" w:rsidRPr="00263F91">
        <w:trPr>
          <w:trHeight w:hRule="exact" w:val="567"/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 xml:space="preserve">Créditos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Teóricos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color w:val="0000FF"/>
                <w:lang w:val="es-E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Curso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sz w:val="22"/>
                <w:lang w:val="es-ES"/>
              </w:rPr>
            </w:pPr>
            <w:r w:rsidRPr="00263F91">
              <w:rPr>
                <w:rFonts w:ascii="Tahoma" w:hAnsi="Tahoma" w:cs="Tahoma"/>
                <w:b/>
                <w:sz w:val="22"/>
                <w:lang w:val="es-ES"/>
              </w:rPr>
              <w:t>Semestre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Plazas ofertadas</w:t>
            </w:r>
          </w:p>
        </w:tc>
      </w:tr>
      <w:tr w:rsidR="00D111A2" w:rsidRPr="00263F91">
        <w:trPr>
          <w:trHeight w:hRule="exact" w:val="567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-567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Prácticos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4º, 5º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Primero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263F91">
            <w:pPr>
              <w:ind w:left="340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30</w:t>
            </w:r>
          </w:p>
        </w:tc>
      </w:tr>
      <w:tr w:rsidR="00D111A2" w:rsidRPr="00263F91">
        <w:trPr>
          <w:trHeight w:hRule="exact" w:val="567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-567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Seminarios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Departamento responsable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color w:val="0000FF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Facultad</w:t>
            </w:r>
          </w:p>
        </w:tc>
      </w:tr>
      <w:tr w:rsidR="00D111A2" w:rsidRPr="00263F91">
        <w:trPr>
          <w:trHeight w:hRule="exact" w:val="567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-567" w:right="-569"/>
              <w:jc w:val="righ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Otros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Sanidad Animal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Veterinaria</w:t>
            </w:r>
          </w:p>
        </w:tc>
      </w:tr>
    </w:tbl>
    <w:p w:rsidR="00D111A2" w:rsidRPr="00263F91" w:rsidRDefault="00D111A2" w:rsidP="00E70CB8">
      <w:pPr>
        <w:ind w:left="-567" w:right="-569"/>
        <w:rPr>
          <w:rFonts w:ascii="Tahoma" w:hAnsi="Tahoma" w:cs="Tahoma"/>
          <w:lang w:val="es-ES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0"/>
        <w:gridCol w:w="3260"/>
        <w:gridCol w:w="1426"/>
        <w:gridCol w:w="2316"/>
      </w:tblGrid>
      <w:tr w:rsidR="00D111A2" w:rsidRPr="00263F91">
        <w:trPr>
          <w:trHeight w:hRule="exact" w:val="68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Nombre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teléfono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E70CB8">
            <w:pPr>
              <w:ind w:left="-567" w:right="-569"/>
              <w:jc w:val="center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e-mail</w:t>
            </w:r>
          </w:p>
        </w:tc>
      </w:tr>
      <w:tr w:rsidR="00D111A2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Profesor/es Coordinador/es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FD5D2C" w:rsidP="002F47A4">
            <w:pPr>
              <w:ind w:right="-569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Ana Mateos García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263F91" w:rsidP="006A041C">
            <w:pPr>
              <w:ind w:left="-662" w:right="-569"/>
              <w:jc w:val="center"/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</w:rPr>
              <w:t>913943</w:t>
            </w:r>
            <w:r w:rsidR="00FD5D2C">
              <w:rPr>
                <w:rFonts w:ascii="Tahoma" w:hAnsi="Tahoma" w:cs="Tahoma"/>
              </w:rPr>
              <w:t>905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FD5D2C" w:rsidP="00263F91">
            <w:pPr>
              <w:ind w:left="-563" w:right="-569"/>
              <w:jc w:val="center"/>
              <w:rPr>
                <w:rFonts w:ascii="Tahoma" w:hAnsi="Tahoma" w:cs="Tahoma"/>
                <w:lang w:val="es-ES"/>
              </w:rPr>
            </w:pPr>
            <w:hyperlink r:id="rId8" w:history="1">
              <w:r w:rsidRPr="009E74E9">
                <w:rPr>
                  <w:rStyle w:val="Hipervnculo"/>
                  <w:rFonts w:ascii="Tahoma" w:hAnsi="Tahoma" w:cs="Tahoma"/>
                </w:rPr>
                <w:t>amateos@vet.ucm.es</w:t>
              </w:r>
            </w:hyperlink>
          </w:p>
        </w:tc>
      </w:tr>
      <w:tr w:rsidR="00263F91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63F91" w:rsidRPr="00263F91" w:rsidRDefault="00263F91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Profesores que imparten la asignatura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1" w:rsidRPr="00263F91" w:rsidRDefault="00263F91" w:rsidP="002F2D2F">
            <w:pPr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  <w:lang w:val="es-ES_tradnl"/>
              </w:rPr>
              <w:t>Alicia Aranaz Martín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A802FB" w:rsidP="002F2D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913944006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933229" w:rsidP="002F2D2F">
            <w:pPr>
              <w:jc w:val="center"/>
              <w:rPr>
                <w:rFonts w:ascii="Tahoma" w:hAnsi="Tahoma" w:cs="Tahoma"/>
              </w:rPr>
            </w:pPr>
            <w:hyperlink r:id="rId9" w:history="1">
              <w:r w:rsidRPr="00006C2D">
                <w:rPr>
                  <w:rStyle w:val="Hipervnculo"/>
                  <w:rFonts w:ascii="Tahoma" w:hAnsi="Tahoma" w:cs="Tahoma"/>
                </w:rPr>
                <w:t>alaranaz@ucm.es</w:t>
              </w:r>
            </w:hyperlink>
          </w:p>
        </w:tc>
      </w:tr>
      <w:tr w:rsidR="00263F91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63F91" w:rsidRPr="00263F91" w:rsidRDefault="00263F91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1" w:rsidRPr="00263F91" w:rsidRDefault="00263F91" w:rsidP="002F2D2F">
            <w:pPr>
              <w:rPr>
                <w:rFonts w:ascii="Tahoma" w:hAnsi="Tahoma" w:cs="Tahoma"/>
                <w:lang w:val="es-ES"/>
              </w:rPr>
            </w:pPr>
            <w:r w:rsidRPr="00263F91">
              <w:rPr>
                <w:rFonts w:ascii="Tahoma" w:hAnsi="Tahoma" w:cs="Tahoma"/>
                <w:lang w:val="es-ES_tradnl"/>
              </w:rPr>
              <w:t>María del Mar Blanco Gutiérrez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263F91" w:rsidP="002F2D2F">
            <w:pPr>
              <w:jc w:val="center"/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</w:rPr>
              <w:t>913943718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B1355B" w:rsidP="002F2D2F">
            <w:pPr>
              <w:jc w:val="center"/>
              <w:rPr>
                <w:rFonts w:ascii="Tahoma" w:hAnsi="Tahoma" w:cs="Tahoma"/>
              </w:rPr>
            </w:pPr>
            <w:hyperlink r:id="rId10" w:history="1">
              <w:r w:rsidRPr="0041366B">
                <w:rPr>
                  <w:rStyle w:val="Hipervnculo"/>
                  <w:rFonts w:ascii="Tahoma" w:hAnsi="Tahoma" w:cs="Tahoma"/>
                </w:rPr>
                <w:t>mmblanco@ucm.es</w:t>
              </w:r>
            </w:hyperlink>
          </w:p>
        </w:tc>
      </w:tr>
      <w:tr w:rsidR="00263F91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63F91" w:rsidRPr="00263F91" w:rsidRDefault="00263F91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1" w:rsidRPr="00263F91" w:rsidRDefault="00263F91" w:rsidP="002F2D2F">
            <w:pPr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  <w:lang w:val="es-ES_tradnl"/>
              </w:rPr>
              <w:t>María Teresa Cutuli de Simón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263F91" w:rsidP="002F2D2F">
            <w:pPr>
              <w:jc w:val="center"/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</w:rPr>
              <w:t>913943700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B1355B" w:rsidP="002F2D2F">
            <w:pPr>
              <w:jc w:val="center"/>
              <w:rPr>
                <w:rFonts w:ascii="Tahoma" w:hAnsi="Tahoma" w:cs="Tahoma"/>
              </w:rPr>
            </w:pPr>
            <w:hyperlink r:id="rId11" w:history="1">
              <w:r w:rsidRPr="0041366B">
                <w:rPr>
                  <w:rStyle w:val="Hipervnculo"/>
                  <w:rFonts w:ascii="Tahoma" w:hAnsi="Tahoma" w:cs="Tahoma"/>
                </w:rPr>
                <w:t>mtcutuli@ucm.es</w:t>
              </w:r>
            </w:hyperlink>
          </w:p>
        </w:tc>
      </w:tr>
      <w:tr w:rsidR="00263F91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63F91" w:rsidRPr="00263F91" w:rsidRDefault="00263F91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1" w:rsidRPr="00263F91" w:rsidRDefault="00263F91" w:rsidP="002F2D2F">
            <w:pPr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  <w:lang w:val="pt-BR"/>
              </w:rPr>
              <w:t>Ana Isabel Vela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263F91" w:rsidP="002F2D2F">
            <w:pPr>
              <w:jc w:val="center"/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</w:rPr>
              <w:t>913943709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B1355B" w:rsidP="00B135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avela@vet.</w:t>
            </w:r>
            <w:r w:rsidR="00263F91" w:rsidRPr="00263F91">
              <w:rPr>
                <w:rFonts w:ascii="Tahoma" w:hAnsi="Tahoma" w:cs="Tahoma"/>
                <w:u w:val="single"/>
              </w:rPr>
              <w:t>ucm.es</w:t>
            </w:r>
          </w:p>
        </w:tc>
      </w:tr>
      <w:tr w:rsidR="00FD5D2C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5D2C" w:rsidRPr="00263F91" w:rsidRDefault="00FD5D2C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C" w:rsidRPr="00263F91" w:rsidRDefault="00FD5D2C" w:rsidP="002F2D2F">
            <w:pPr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Alicia Gibello Prieto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C" w:rsidRPr="00263F91" w:rsidRDefault="00FD5D2C" w:rsidP="002F2D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913943900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2C" w:rsidRPr="00263F91" w:rsidRDefault="00B1355B" w:rsidP="002F2D2F">
            <w:pPr>
              <w:jc w:val="center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gibelloa@vet.</w:t>
            </w:r>
            <w:r w:rsidR="00FD5D2C">
              <w:rPr>
                <w:rFonts w:ascii="Tahoma" w:hAnsi="Tahoma" w:cs="Tahoma"/>
                <w:u w:val="single"/>
              </w:rPr>
              <w:t>ucm.es</w:t>
            </w:r>
          </w:p>
        </w:tc>
      </w:tr>
      <w:tr w:rsidR="00263F91" w:rsidRPr="00263F91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63F91" w:rsidRPr="00263F91" w:rsidRDefault="00263F91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1" w:rsidRPr="00263F91" w:rsidRDefault="00263F91" w:rsidP="002F2D2F">
            <w:pPr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  <w:lang w:val="es-ES_tradnl"/>
              </w:rPr>
              <w:t>Bruno González Zorn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263F91" w:rsidP="002F2D2F">
            <w:pPr>
              <w:jc w:val="center"/>
              <w:rPr>
                <w:rFonts w:ascii="Tahoma" w:hAnsi="Tahoma" w:cs="Tahoma"/>
              </w:rPr>
            </w:pPr>
            <w:r w:rsidRPr="00263F91">
              <w:rPr>
                <w:rFonts w:ascii="Tahoma" w:hAnsi="Tahoma" w:cs="Tahoma"/>
              </w:rPr>
              <w:t>913943707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63F91" w:rsidRDefault="00B1355B" w:rsidP="002F2D2F">
            <w:pPr>
              <w:jc w:val="center"/>
              <w:rPr>
                <w:rFonts w:ascii="Tahoma" w:hAnsi="Tahoma" w:cs="Tahoma"/>
              </w:rPr>
            </w:pPr>
            <w:hyperlink r:id="rId12" w:history="1">
              <w:r w:rsidRPr="0041366B">
                <w:rPr>
                  <w:rStyle w:val="Hipervnculo"/>
                  <w:rFonts w:ascii="Tahoma" w:hAnsi="Tahoma" w:cs="Tahoma"/>
                </w:rPr>
                <w:t>bgzorn@ucm.es</w:t>
              </w:r>
            </w:hyperlink>
          </w:p>
        </w:tc>
      </w:tr>
    </w:tbl>
    <w:p w:rsidR="00D111A2" w:rsidRPr="00263F91" w:rsidRDefault="00D111A2" w:rsidP="008A5370">
      <w:pPr>
        <w:ind w:right="-569"/>
        <w:jc w:val="left"/>
        <w:rPr>
          <w:rFonts w:ascii="Tahoma" w:hAnsi="Tahoma" w:cs="Tahoma"/>
          <w:b/>
          <w:lang w:val="es-ES"/>
        </w:rPr>
      </w:pP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7"/>
      </w:tblGrid>
      <w:tr w:rsidR="00D111A2" w:rsidRPr="00263F91">
        <w:trPr>
          <w:trHeight w:val="624"/>
        </w:trPr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Breve descriptor</w:t>
            </w:r>
          </w:p>
        </w:tc>
      </w:tr>
      <w:tr w:rsidR="00D111A2" w:rsidRPr="00263F91"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rPr>
                <w:rFonts w:ascii="Tahoma" w:hAnsi="Tahoma" w:cs="Tahoma"/>
                <w:color w:val="0000FF"/>
                <w:lang w:val="es-ES"/>
              </w:rPr>
            </w:pPr>
          </w:p>
        </w:tc>
      </w:tr>
    </w:tbl>
    <w:p w:rsidR="00D111A2" w:rsidRPr="00263F91" w:rsidRDefault="00D111A2" w:rsidP="008A5370">
      <w:pPr>
        <w:ind w:left="-567" w:right="-569"/>
        <w:jc w:val="right"/>
        <w:rPr>
          <w:rFonts w:ascii="Tahoma" w:hAnsi="Tahoma" w:cs="Tahoma"/>
          <w:color w:val="0000FF"/>
          <w:lang w:val="es-ES"/>
        </w:rPr>
      </w:pPr>
    </w:p>
    <w:tbl>
      <w:tblPr>
        <w:tblpPr w:leftFromText="141" w:rightFromText="141" w:vertAnchor="text" w:horzAnchor="margin" w:tblpX="-468" w:tblpY="-1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2"/>
      </w:tblGrid>
      <w:tr w:rsidR="00D111A2" w:rsidRPr="00263F91">
        <w:trPr>
          <w:trHeight w:val="563"/>
        </w:trPr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color w:val="000080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Requisitos y conocimientos previos recomendados</w:t>
            </w:r>
          </w:p>
        </w:tc>
      </w:tr>
      <w:tr w:rsidR="00D111A2" w:rsidRPr="002F47A4"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F47A4" w:rsidRDefault="00D111A2" w:rsidP="008A5370">
            <w:pPr>
              <w:ind w:left="-567" w:right="-569"/>
              <w:rPr>
                <w:rFonts w:ascii="Tahoma" w:hAnsi="Tahoma" w:cs="Tahoma"/>
                <w:color w:val="000080"/>
                <w:lang w:val="es-ES"/>
              </w:rPr>
            </w:pPr>
          </w:p>
          <w:p w:rsidR="00D111A2" w:rsidRPr="002F47A4" w:rsidRDefault="00263F91" w:rsidP="00263F91">
            <w:pPr>
              <w:ind w:left="180" w:right="216"/>
              <w:rPr>
                <w:rFonts w:ascii="Tahoma" w:hAnsi="Tahoma" w:cs="Tahoma"/>
                <w:color w:val="000080"/>
                <w:lang w:val="es-ES"/>
              </w:rPr>
            </w:pPr>
            <w:r w:rsidRPr="002F47A4">
              <w:rPr>
                <w:rFonts w:ascii="Century" w:hAnsi="Century" w:cs="Tahoma"/>
                <w:lang w:val="es-ES_tradnl"/>
              </w:rPr>
              <w:t>Haber aprobado la asignatura de Microbiología y haber aprobado o estar matriculado en la asignatura de Enfermedades Infecciosas</w:t>
            </w:r>
          </w:p>
          <w:p w:rsidR="00D111A2" w:rsidRPr="002F47A4" w:rsidRDefault="00D111A2" w:rsidP="008A5370">
            <w:pPr>
              <w:ind w:left="-567" w:right="-569"/>
              <w:rPr>
                <w:rFonts w:ascii="Tahoma" w:hAnsi="Tahoma" w:cs="Tahoma"/>
                <w:color w:val="000080"/>
                <w:lang w:val="es-ES"/>
              </w:rPr>
            </w:pPr>
          </w:p>
        </w:tc>
      </w:tr>
    </w:tbl>
    <w:p w:rsidR="00CD6113" w:rsidRPr="00CD6113" w:rsidRDefault="00CD6113" w:rsidP="00CD6113">
      <w:pPr>
        <w:spacing w:after="0"/>
        <w:rPr>
          <w:vanish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1"/>
      </w:tblGrid>
      <w:tr w:rsidR="00D111A2" w:rsidRPr="00263F91">
        <w:trPr>
          <w:trHeight w:val="642"/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Objetivos generales de la asignatura</w:t>
            </w:r>
          </w:p>
        </w:tc>
      </w:tr>
      <w:tr w:rsidR="00D111A2" w:rsidRPr="00263F91">
        <w:trPr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1" w:rsidRPr="002F47A4" w:rsidRDefault="00263F91" w:rsidP="00263F91">
            <w:pPr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Profundizar en el conocimiento de las técnicas e instrumentos básicos del diagnóstico laboratorial y diferencial de las enfermedades trasmisibles de origen infeccioso, como medio auxiliar imprescindible en la práctica del clínico veterinario.</w:t>
            </w:r>
          </w:p>
          <w:p w:rsidR="00263F91" w:rsidRPr="002F47A4" w:rsidRDefault="00263F91" w:rsidP="00263F91">
            <w:pPr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Objetivos específicos: </w:t>
            </w:r>
          </w:p>
          <w:p w:rsidR="00263F91" w:rsidRPr="002F47A4" w:rsidRDefault="00263F91" w:rsidP="00263F91">
            <w:pPr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Tienen como finalidad que los alumnos aprendan</w:t>
            </w:r>
          </w:p>
          <w:p w:rsidR="00263F91" w:rsidRPr="002F47A4" w:rsidRDefault="00263F91" w:rsidP="00263F91">
            <w:pPr>
              <w:tabs>
                <w:tab w:val="left" w:pos="300"/>
              </w:tabs>
              <w:ind w:left="284" w:hanging="284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 xml:space="preserve">Los niveles de bioseguridad, normas de calidad y buenas prácticas en el laboratorio de Microbiología. </w:t>
            </w:r>
          </w:p>
          <w:p w:rsidR="00263F91" w:rsidRPr="002F47A4" w:rsidRDefault="00263F91" w:rsidP="00263F91">
            <w:pPr>
              <w:tabs>
                <w:tab w:val="left" w:pos="300"/>
              </w:tabs>
              <w:ind w:left="284" w:hanging="284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 xml:space="preserve">Cómo se recogen las muestras biológicas de las distintas especies animales, en forma y número representativo de cada población, y las técnicas necesarias para su conservación. </w:t>
            </w:r>
          </w:p>
          <w:p w:rsidR="00263F91" w:rsidRPr="002F47A4" w:rsidRDefault="00263F91" w:rsidP="00263F91">
            <w:pPr>
              <w:tabs>
                <w:tab w:val="left" w:pos="300"/>
              </w:tabs>
              <w:ind w:left="284" w:hanging="284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 xml:space="preserve">Las técnicas de diagnóstico microbiológico: bacteriológico, micológico y virológico. </w:t>
            </w:r>
          </w:p>
          <w:p w:rsidR="00263F91" w:rsidRPr="002F47A4" w:rsidRDefault="00263F91" w:rsidP="00263F91">
            <w:pPr>
              <w:tabs>
                <w:tab w:val="left" w:pos="300"/>
              </w:tabs>
              <w:ind w:left="284" w:hanging="284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 xml:space="preserve">A evaluar los resultados obtenidos y el diagnóstico diferencial con otras enfermedades. </w:t>
            </w:r>
          </w:p>
          <w:p w:rsidR="00263F91" w:rsidRPr="002F47A4" w:rsidRDefault="00263F91" w:rsidP="00263F91">
            <w:pPr>
              <w:tabs>
                <w:tab w:val="left" w:pos="300"/>
              </w:tabs>
              <w:ind w:left="284" w:hanging="284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 xml:space="preserve">A seleccionar los antimicrobianos más adecuados para cada proceso. </w:t>
            </w:r>
          </w:p>
          <w:p w:rsidR="00263F91" w:rsidRPr="002F47A4" w:rsidRDefault="00263F91" w:rsidP="00263F91">
            <w:pPr>
              <w:tabs>
                <w:tab w:val="left" w:pos="300"/>
              </w:tabs>
              <w:ind w:left="284" w:hanging="284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 xml:space="preserve">La caracterización y tipificación de microorganismos con fines epidemiológicos. </w:t>
            </w:r>
          </w:p>
          <w:p w:rsidR="00D111A2" w:rsidRPr="00263F91" w:rsidRDefault="00263F91" w:rsidP="00263F91">
            <w:pPr>
              <w:ind w:left="-567" w:right="-569"/>
              <w:rPr>
                <w:rFonts w:ascii="Arial" w:hAnsi="Arial" w:cs="Arial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>•</w:t>
            </w:r>
            <w:r w:rsidRPr="002F47A4">
              <w:rPr>
                <w:rFonts w:ascii="Century" w:hAnsi="Century" w:cs="Tahoma"/>
                <w:lang w:val="es-ES"/>
              </w:rPr>
              <w:tab/>
              <w:t>La interpretación y valoración de una publicación científica en el área de Microbiología Clínicas</w:t>
            </w:r>
            <w:r w:rsidRPr="00263F91">
              <w:rPr>
                <w:rFonts w:ascii="Century" w:hAnsi="Century" w:cs="Tahoma"/>
                <w:b/>
                <w:lang w:val="es-ES"/>
              </w:rPr>
              <w:t>.</w:t>
            </w:r>
          </w:p>
        </w:tc>
      </w:tr>
      <w:tr w:rsidR="00D111A2" w:rsidRPr="00263F91">
        <w:trPr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rFonts w:ascii="Arial" w:hAnsi="Arial" w:cs="Arial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General Objetives of this subject</w:t>
            </w:r>
          </w:p>
        </w:tc>
      </w:tr>
      <w:tr w:rsidR="00D111A2" w:rsidRPr="00263F91">
        <w:trPr>
          <w:jc w:val="center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2" w:rsidRPr="00263F91" w:rsidRDefault="00D111A2" w:rsidP="00E70CB8">
            <w:pPr>
              <w:ind w:left="-567" w:right="-569"/>
              <w:rPr>
                <w:rFonts w:ascii="Arial" w:hAnsi="Arial" w:cs="Arial"/>
                <w:lang w:val="es-ES"/>
              </w:rPr>
            </w:pPr>
          </w:p>
        </w:tc>
      </w:tr>
    </w:tbl>
    <w:p w:rsidR="00D111A2" w:rsidRPr="00263F91" w:rsidRDefault="00D111A2" w:rsidP="00E70CB8">
      <w:pPr>
        <w:ind w:left="-567" w:right="-569"/>
        <w:jc w:val="center"/>
        <w:rPr>
          <w:rFonts w:ascii="Tahoma" w:hAnsi="Tahoma" w:cs="Tahoma"/>
          <w:lang w:val="es-ES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3"/>
      </w:tblGrid>
      <w:tr w:rsidR="00D111A2" w:rsidRPr="00263F91">
        <w:trPr>
          <w:trHeight w:hRule="exact" w:val="567"/>
          <w:jc w:val="center"/>
        </w:trPr>
        <w:tc>
          <w:tcPr>
            <w:tcW w:w="10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8A5370">
            <w:pPr>
              <w:ind w:left="118" w:right="-569"/>
              <w:jc w:val="left"/>
              <w:rPr>
                <w:color w:val="0000FF"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Programa Teórico y Práctico</w:t>
            </w:r>
          </w:p>
        </w:tc>
      </w:tr>
      <w:tr w:rsidR="00D111A2" w:rsidRPr="002F47A4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F47A4" w:rsidRDefault="00263F91" w:rsidP="00263F91">
            <w:pPr>
              <w:ind w:left="567" w:hanging="567"/>
              <w:rPr>
                <w:rFonts w:ascii="Century" w:hAnsi="Century" w:cs="Tahoma"/>
                <w:b/>
                <w:bCs/>
              </w:rPr>
            </w:pPr>
            <w:r w:rsidRPr="002F47A4">
              <w:rPr>
                <w:rFonts w:ascii="Century" w:hAnsi="Century" w:cs="Tahoma"/>
                <w:b/>
                <w:bCs/>
              </w:rPr>
              <w:t>PROGRAMA TEÓRICO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1.  </w:t>
            </w:r>
            <w:r w:rsidRPr="002F47A4">
              <w:rPr>
                <w:rFonts w:ascii="Century" w:hAnsi="Century" w:cs="Tahoma"/>
                <w:b/>
                <w:lang w:val="es-ES_tradnl"/>
              </w:rPr>
              <w:t>Organismos saprofitos y patógenos. Infección</w:t>
            </w:r>
            <w:r w:rsidRPr="002F47A4">
              <w:rPr>
                <w:rFonts w:ascii="Century" w:hAnsi="Century" w:cs="Tahoma"/>
                <w:lang w:val="es-ES_tradnl"/>
              </w:rPr>
              <w:t xml:space="preserve">. Agentes patógenos primarios y oportunistas. Especificidad tisular y especificidad de hospedador. Interacciones microbianas. Factores de virulencia y </w:t>
            </w:r>
            <w:r w:rsidRPr="002F47A4">
              <w:rPr>
                <w:rFonts w:ascii="Century" w:hAnsi="Century" w:cs="Tahoma"/>
                <w:lang w:val="es-ES_tradnl"/>
              </w:rPr>
              <w:lastRenderedPageBreak/>
              <w:t>respuesta inmune como marcadores para el diagnóstico.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2. </w:t>
            </w:r>
            <w:r w:rsidRPr="002F47A4">
              <w:rPr>
                <w:rFonts w:ascii="Century" w:hAnsi="Century" w:cs="Tahoma"/>
                <w:b/>
                <w:lang w:val="es-ES_tradnl"/>
              </w:rPr>
              <w:t>Seguridad y organización en el laboratorio.</w:t>
            </w:r>
            <w:r w:rsidRPr="002F47A4">
              <w:rPr>
                <w:rFonts w:ascii="Century" w:hAnsi="Century" w:cs="Tahoma"/>
                <w:lang w:val="es-ES_tradnl"/>
              </w:rPr>
              <w:t xml:space="preserve"> Normas de seguridad en el laboratorio. El riesgo biológico y su control. Cabinas de seguridad biológica. Niveles de bioseguridad. Inspección y verificación de buenas prácticas en el laboratorio (BPL).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3. </w:t>
            </w:r>
            <w:r w:rsidRPr="002F47A4">
              <w:rPr>
                <w:rFonts w:ascii="Century" w:hAnsi="Century" w:cs="Tahoma"/>
                <w:b/>
                <w:lang w:val="es-ES_tradnl"/>
              </w:rPr>
              <w:t>Generalidades sobre la recogida y procesamiento de las muestras en Microbiología Clínica.</w:t>
            </w:r>
            <w:r w:rsidRPr="002F47A4">
              <w:rPr>
                <w:rFonts w:ascii="Century" w:hAnsi="Century" w:cs="Tahoma"/>
                <w:lang w:val="es-ES_tradnl"/>
              </w:rPr>
              <w:t xml:space="preserve"> Esquema general. Pautas generales para la recogida, transporte y conservación de muestras. Criterios de admisión o rechazo de muestras. Detección directa del agente en las muestras. Examen microscópico directo: importancia y significación diagnóstica.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Tema 4. </w:t>
            </w:r>
            <w:r w:rsidRPr="002F47A4">
              <w:rPr>
                <w:rFonts w:ascii="Century" w:hAnsi="Century" w:cs="Tahoma"/>
                <w:b/>
                <w:bCs/>
                <w:lang w:val="es-ES"/>
              </w:rPr>
              <w:t>Recogida y procesamiento de muestras normalmente estériles</w:t>
            </w:r>
            <w:r w:rsidRPr="002F47A4">
              <w:rPr>
                <w:rFonts w:ascii="Century" w:hAnsi="Century" w:cs="Tahoma"/>
                <w:lang w:val="es-ES"/>
              </w:rPr>
              <w:t xml:space="preserve">. Muestras de sangre y hemocultivos. Líquido cefalorraquídeo. Líquido pleural, pericárdico, peritoneal y articular. Muestras de cavidades cerradas, abscesos sin abrir y tejidos blandos.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Tema 5. </w:t>
            </w:r>
            <w:r w:rsidRPr="002F47A4">
              <w:rPr>
                <w:rFonts w:ascii="Century" w:hAnsi="Century" w:cs="Tahoma"/>
                <w:b/>
                <w:bCs/>
                <w:lang w:val="es-ES"/>
              </w:rPr>
              <w:t>Muestras normalmente contaminadas con microbiota normal</w:t>
            </w:r>
            <w:r w:rsidRPr="002F47A4">
              <w:rPr>
                <w:rFonts w:ascii="Century" w:hAnsi="Century" w:cs="Tahoma"/>
                <w:lang w:val="es-ES"/>
              </w:rPr>
              <w:t xml:space="preserve">. Muestras de procesos cutáneos y subcutáneos. </w:t>
            </w:r>
            <w:r w:rsidRPr="002F47A4">
              <w:rPr>
                <w:rFonts w:ascii="Century" w:hAnsi="Century" w:cs="Tahoma"/>
              </w:rPr>
              <w:t xml:space="preserve">Muestras de procesos oculares y conducto auditivo.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Tema 6. Muestras del aparato respiratorio: tracto respiratorio superior y tracto respiratorio inferior. </w:t>
            </w:r>
            <w:r w:rsidRPr="002F47A4">
              <w:rPr>
                <w:rFonts w:ascii="Century" w:hAnsi="Century" w:cs="Tahoma"/>
              </w:rPr>
              <w:t xml:space="preserve">Muestras del canal gastroentérico y coprocultivos.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Tema 7. Muestras de orina y urocultivos. Muestras de leche y mastitis. </w:t>
            </w:r>
            <w:r w:rsidRPr="002F47A4">
              <w:rPr>
                <w:rFonts w:ascii="Century" w:hAnsi="Century" w:cs="Tahoma"/>
              </w:rPr>
              <w:t xml:space="preserve">Muestras genitales y del aparato reproductor.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Tema 8. </w:t>
            </w:r>
            <w:r w:rsidRPr="002F47A4">
              <w:rPr>
                <w:rFonts w:ascii="Century" w:hAnsi="Century" w:cs="Tahoma"/>
                <w:b/>
                <w:bCs/>
                <w:lang w:val="es-ES"/>
              </w:rPr>
              <w:t>Otras muestras</w:t>
            </w:r>
            <w:r w:rsidRPr="002F47A4">
              <w:rPr>
                <w:rFonts w:ascii="Century" w:hAnsi="Century" w:cs="Tahoma"/>
                <w:lang w:val="es-ES"/>
              </w:rPr>
              <w:t xml:space="preserve">. Muestras procedentes de necropsia y abortos. </w:t>
            </w:r>
            <w:r w:rsidRPr="002F47A4">
              <w:rPr>
                <w:rFonts w:ascii="Century" w:hAnsi="Century" w:cs="Tahoma"/>
              </w:rPr>
              <w:t xml:space="preserve">Muestras de procesos en acuicultura. Muestras procedentes de apicultura.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9. </w:t>
            </w:r>
            <w:r w:rsidRPr="002F47A4">
              <w:rPr>
                <w:rFonts w:ascii="Century" w:hAnsi="Century" w:cs="Tahoma"/>
                <w:b/>
                <w:lang w:val="es-ES_tradnl"/>
              </w:rPr>
              <w:t>Diagnóstico bacteriológico.</w:t>
            </w:r>
            <w:r w:rsidRPr="002F47A4">
              <w:rPr>
                <w:rFonts w:ascii="Century" w:hAnsi="Century" w:cs="Tahoma"/>
                <w:lang w:val="es-ES_tradnl"/>
              </w:rPr>
              <w:t xml:space="preserve"> Selección del medio de cultivo y las condiciones de incubación. Examen e interpretación de los cultivos primarios. Estrategias y criterios de la identificación en Microbiología Clínica.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>Tema 10. Medios y técnicas especiales en el estudio de procesos causados por micobacterias, clamidias, rickettsias, micoplasmas y espiroquetas.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11. </w:t>
            </w:r>
            <w:r w:rsidRPr="002F47A4">
              <w:rPr>
                <w:rFonts w:ascii="Century" w:hAnsi="Century" w:cs="Tahoma"/>
                <w:b/>
                <w:bCs/>
                <w:lang w:val="es-ES_tradnl"/>
              </w:rPr>
              <w:t>Micología clínica</w:t>
            </w:r>
            <w:r w:rsidRPr="002F47A4">
              <w:rPr>
                <w:rFonts w:ascii="Century" w:hAnsi="Century" w:cs="Tahoma"/>
                <w:b/>
                <w:lang w:val="es-ES_tradnl"/>
              </w:rPr>
              <w:t>.</w:t>
            </w:r>
            <w:r w:rsidRPr="002F47A4">
              <w:rPr>
                <w:rFonts w:ascii="Century" w:hAnsi="Century" w:cs="Tahoma"/>
                <w:lang w:val="es-ES_tradnl"/>
              </w:rPr>
              <w:t xml:space="preserve"> Particularidades de los métodos de diagnóstico  micológico. Tipos de procesos patológicos de etiología fúngica.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12. Diagnóstico de las micosis Superficiales: Dermatitis seborreicas. Otitis externas. Dematomicosis. Queratomicosis.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>Tema 13. Diagnóstico de las micosis subcutáneas. Diagnóstico de las micosis sistémicas.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14. </w:t>
            </w:r>
            <w:r w:rsidRPr="002F47A4">
              <w:rPr>
                <w:rFonts w:ascii="Century" w:hAnsi="Century" w:cs="Tahoma"/>
                <w:b/>
                <w:lang w:val="es-ES"/>
              </w:rPr>
              <w:t>Diagnóstico virológico.</w:t>
            </w:r>
            <w:r w:rsidRPr="002F47A4">
              <w:rPr>
                <w:rFonts w:ascii="Century" w:hAnsi="Century" w:cs="Tahoma"/>
                <w:lang w:val="es-ES"/>
              </w:rPr>
              <w:t xml:space="preserve">  Envío y procesado de muestras para el análisis virológico. Microscopía electrónica. Identificación directa de virus (antígenos virales y ácidos nucleicos).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15. </w:t>
            </w:r>
            <w:r w:rsidRPr="002F47A4">
              <w:rPr>
                <w:rFonts w:ascii="Century" w:hAnsi="Century" w:cs="Tahoma"/>
                <w:lang w:val="es-ES"/>
              </w:rPr>
              <w:t xml:space="preserve">Aislamiento de virus en cultivos celulares. Efecto citopático. Cuantificación vírica. </w:t>
            </w:r>
            <w:r w:rsidRPr="002F47A4">
              <w:rPr>
                <w:rFonts w:ascii="Century" w:hAnsi="Century" w:cs="Tahoma"/>
              </w:rPr>
              <w:t>Modelos animales y embrión de pollo.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16. </w:t>
            </w:r>
            <w:r w:rsidRPr="002F47A4">
              <w:rPr>
                <w:rFonts w:ascii="Century" w:hAnsi="Century" w:cs="Tahoma"/>
                <w:b/>
                <w:lang w:val="es-ES_tradnl"/>
              </w:rPr>
              <w:t>La automatización en el laboratorio de Microbiología Clínica</w:t>
            </w:r>
            <w:r w:rsidRPr="002F47A4">
              <w:rPr>
                <w:rFonts w:ascii="Century" w:hAnsi="Century" w:cs="Tahoma"/>
                <w:lang w:val="es-ES_tradnl"/>
              </w:rPr>
              <w:t xml:space="preserve">. Sistemas rápidos de detección de infección, de identificación microbiana. Principios de funcionamiento de algunos sistemas comerciales.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17. </w:t>
            </w:r>
            <w:r w:rsidRPr="002F47A4">
              <w:rPr>
                <w:rFonts w:ascii="Century" w:hAnsi="Century" w:cs="Tahoma"/>
                <w:b/>
                <w:lang w:val="es-ES_tradnl"/>
              </w:rPr>
              <w:t>Técnicas inmunológicas en Microbiología Clínica</w:t>
            </w:r>
            <w:r w:rsidRPr="002F47A4">
              <w:rPr>
                <w:rFonts w:ascii="Century" w:hAnsi="Century" w:cs="Tahoma"/>
                <w:lang w:val="es-ES_tradnl"/>
              </w:rPr>
              <w:t xml:space="preserve">. Diagnóstico directo mediante la detección de antígenos y diagnóstico indirecto mediante la detección de anticuerpos. Técnicas basadas en el marcaje de anticuerpos. Otras técnicas. Anticuerpos monoclonales y "kits" diagnósticos. Valoración de la respuesta inmune de base celular. 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18. </w:t>
            </w:r>
            <w:r w:rsidRPr="002F47A4">
              <w:rPr>
                <w:rFonts w:ascii="Century" w:hAnsi="Century" w:cs="Tahoma"/>
                <w:b/>
                <w:lang w:val="es-ES_tradnl"/>
              </w:rPr>
              <w:t>Técnicas moleculares en Microbiología Clínica</w:t>
            </w:r>
            <w:r w:rsidRPr="002F47A4">
              <w:rPr>
                <w:rFonts w:ascii="Century" w:hAnsi="Century" w:cs="Tahoma"/>
                <w:lang w:val="es-ES_tradnl"/>
              </w:rPr>
              <w:t>. Detección de agentes patógenos mediante métodos genéticos: principales técnicas. Aplicaciones diagnósticas de la técnica de Reacción en Cadena de la Polimerasa (PCR) y secuenciación de ADN.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19. </w:t>
            </w:r>
            <w:r w:rsidRPr="002F47A4">
              <w:rPr>
                <w:rFonts w:ascii="Century" w:hAnsi="Century" w:cs="Tahoma"/>
                <w:b/>
                <w:lang w:val="es-ES_tradnl"/>
              </w:rPr>
              <w:t>Caracterización y tipificación de microorganismos</w:t>
            </w:r>
            <w:r w:rsidRPr="002F47A4">
              <w:rPr>
                <w:rFonts w:ascii="Century" w:hAnsi="Century" w:cs="Tahoma"/>
                <w:lang w:val="es-ES_tradnl"/>
              </w:rPr>
              <w:t>. Laboratorios de diagnóstico y centros de referencia. Caracterización y tipificación de microorganismos con fines epidemiológicos. Análisis de marcadores epidemiológicos de cepas: biotipia, serotipia, fagotipia, etc. Técnicas moleculares en epidemiología.</w:t>
            </w:r>
          </w:p>
          <w:p w:rsidR="00263F91" w:rsidRPr="002F47A4" w:rsidRDefault="00263F91" w:rsidP="00263F91">
            <w:pPr>
              <w:numPr>
                <w:ilvl w:val="0"/>
                <w:numId w:val="22"/>
              </w:numPr>
              <w:tabs>
                <w:tab w:val="left" w:pos="322"/>
              </w:tabs>
              <w:spacing w:after="0" w:line="240" w:lineRule="auto"/>
              <w:ind w:left="322" w:hanging="322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Tema 20. </w:t>
            </w:r>
            <w:r w:rsidRPr="002F47A4">
              <w:rPr>
                <w:rFonts w:ascii="Century" w:hAnsi="Century" w:cs="Tahoma"/>
                <w:b/>
                <w:bCs/>
                <w:lang w:val="es-ES_tradnl"/>
              </w:rPr>
              <w:t>Antimicrobianos</w:t>
            </w:r>
            <w:r w:rsidRPr="002F47A4">
              <w:rPr>
                <w:rFonts w:ascii="Century" w:hAnsi="Century" w:cs="Tahoma"/>
                <w:lang w:val="es-ES_tradnl"/>
              </w:rPr>
              <w:t>. Criterios para la selección de los antimicrobianos más adecuados para su aplicación en los distintos tipos de procesos clínicos. Vigilancia de las resistencias de los microorganismos a los antimicrobianos. Antifúngicos. Antivirales.</w:t>
            </w:r>
          </w:p>
          <w:p w:rsidR="002F47A4" w:rsidRDefault="00263F91" w:rsidP="002F47A4">
            <w:pPr>
              <w:ind w:left="567" w:hanging="567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 xml:space="preserve"> </w:t>
            </w:r>
          </w:p>
          <w:p w:rsidR="00263F91" w:rsidRPr="002F47A4" w:rsidRDefault="00263F91" w:rsidP="002F47A4">
            <w:pPr>
              <w:spacing w:line="240" w:lineRule="auto"/>
              <w:ind w:left="567" w:hanging="567"/>
              <w:rPr>
                <w:rFonts w:ascii="Century" w:hAnsi="Century" w:cs="Tahoma"/>
                <w:b/>
              </w:rPr>
            </w:pPr>
            <w:r w:rsidRPr="002F47A4">
              <w:rPr>
                <w:rFonts w:ascii="Century" w:hAnsi="Century" w:cs="Tahoma"/>
                <w:b/>
              </w:rPr>
              <w:t>PROGRAMA PRÁCTICO</w:t>
            </w:r>
          </w:p>
          <w:p w:rsidR="00263F91" w:rsidRPr="002F47A4" w:rsidRDefault="00263F91" w:rsidP="002F47A4">
            <w:pPr>
              <w:spacing w:line="240" w:lineRule="auto"/>
              <w:ind w:left="567" w:hanging="567"/>
              <w:rPr>
                <w:rFonts w:ascii="Century" w:hAnsi="Century" w:cs="Tahoma"/>
                <w:bCs/>
                <w:lang w:val="es-ES_tradnl"/>
              </w:rPr>
            </w:pPr>
            <w:r w:rsidRPr="002F47A4">
              <w:rPr>
                <w:rFonts w:ascii="Century" w:hAnsi="Century" w:cs="Tahoma"/>
                <w:bCs/>
                <w:lang w:val="es-ES_tradnl"/>
              </w:rPr>
              <w:t>Análisis de casos clínicos:</w:t>
            </w:r>
          </w:p>
          <w:p w:rsidR="00263F91" w:rsidRPr="002F47A4" w:rsidRDefault="00263F91" w:rsidP="00FD5D2C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" w:hAnsi="Century" w:cs="Tahoma"/>
                <w:bCs/>
                <w:lang w:val="es-ES_tradnl"/>
              </w:rPr>
            </w:pPr>
            <w:r w:rsidRPr="002F47A4">
              <w:rPr>
                <w:rFonts w:ascii="Century" w:hAnsi="Century" w:cs="Tahoma"/>
                <w:bCs/>
                <w:lang w:val="es-ES_tradnl"/>
              </w:rPr>
              <w:t>Diagnóstico bacteriológico</w:t>
            </w:r>
          </w:p>
          <w:p w:rsidR="00263F91" w:rsidRPr="002F47A4" w:rsidRDefault="00263F91" w:rsidP="00FD5D2C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" w:hAnsi="Century" w:cs="Tahoma"/>
                <w:bCs/>
                <w:lang w:val="es-ES_tradnl"/>
              </w:rPr>
            </w:pPr>
            <w:r w:rsidRPr="002F47A4">
              <w:rPr>
                <w:rFonts w:ascii="Century" w:hAnsi="Century" w:cs="Tahoma"/>
                <w:bCs/>
                <w:lang w:val="es-ES_tradnl"/>
              </w:rPr>
              <w:t>Análisis micológico</w:t>
            </w:r>
          </w:p>
          <w:p w:rsidR="00263F91" w:rsidRPr="002F47A4" w:rsidRDefault="00263F91" w:rsidP="00FD5D2C">
            <w:pPr>
              <w:numPr>
                <w:ilvl w:val="0"/>
                <w:numId w:val="26"/>
              </w:numPr>
              <w:spacing w:line="240" w:lineRule="auto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lang w:val="es-ES_tradnl"/>
              </w:rPr>
              <w:t>Diagnóstico virológico: cultivos celulares y observación del efecto citopático</w:t>
            </w:r>
          </w:p>
          <w:p w:rsidR="00D111A2" w:rsidRPr="002F47A4" w:rsidRDefault="00D111A2" w:rsidP="00E70CB8">
            <w:pPr>
              <w:tabs>
                <w:tab w:val="left" w:pos="-720"/>
                <w:tab w:val="left" w:pos="0"/>
                <w:tab w:val="decimal" w:pos="720"/>
              </w:tabs>
              <w:suppressAutoHyphens/>
              <w:spacing w:line="264" w:lineRule="auto"/>
              <w:ind w:left="-567" w:right="-569"/>
              <w:rPr>
                <w:rFonts w:ascii="Verdana" w:hAnsi="Verdana"/>
                <w:b/>
                <w:spacing w:val="-3"/>
                <w:u w:val="single"/>
                <w:lang w:val="es-ES"/>
              </w:rPr>
            </w:pPr>
          </w:p>
        </w:tc>
      </w:tr>
    </w:tbl>
    <w:p w:rsidR="00D111A2" w:rsidRDefault="00D111A2" w:rsidP="00E70CB8">
      <w:pPr>
        <w:ind w:left="-567" w:right="-569"/>
        <w:rPr>
          <w:rFonts w:ascii="Tahoma" w:hAnsi="Tahoma" w:cs="Tahoma"/>
          <w:b/>
          <w:lang w:val="es-ES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D111A2" w:rsidRPr="00263F9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F47A4" w:rsidRPr="002F47A4" w:rsidRDefault="00D111A2" w:rsidP="002F47A4">
            <w:pPr>
              <w:ind w:left="118" w:right="-569"/>
              <w:jc w:val="left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lastRenderedPageBreak/>
              <w:t>Método docente</w:t>
            </w:r>
          </w:p>
        </w:tc>
      </w:tr>
      <w:tr w:rsidR="00D111A2" w:rsidRPr="002F47A4">
        <w:trPr>
          <w:trHeight w:val="98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2F47A4" w:rsidRDefault="00263F91" w:rsidP="002F47A4">
            <w:pPr>
              <w:tabs>
                <w:tab w:val="left" w:pos="240"/>
              </w:tabs>
              <w:spacing w:after="0" w:line="240" w:lineRule="auto"/>
              <w:jc w:val="left"/>
              <w:rPr>
                <w:rFonts w:ascii="Century" w:hAnsi="Century"/>
              </w:rPr>
            </w:pPr>
            <w:r w:rsidRPr="002F47A4">
              <w:rPr>
                <w:rFonts w:ascii="Century" w:hAnsi="Century"/>
              </w:rPr>
              <w:t>Enseñanza teórica</w:t>
            </w:r>
          </w:p>
          <w:p w:rsidR="00263F91" w:rsidRPr="002F47A4" w:rsidRDefault="00263F91" w:rsidP="002F47A4">
            <w:pPr>
              <w:tabs>
                <w:tab w:val="left" w:pos="240"/>
              </w:tabs>
              <w:spacing w:after="0" w:line="240" w:lineRule="auto"/>
              <w:jc w:val="left"/>
              <w:rPr>
                <w:rFonts w:ascii="Century" w:hAnsi="Century"/>
                <w:lang w:val="es-ES"/>
              </w:rPr>
            </w:pPr>
            <w:r w:rsidRPr="002F47A4">
              <w:rPr>
                <w:rFonts w:ascii="Century" w:hAnsi="Century"/>
                <w:lang w:val="es-ES"/>
              </w:rPr>
              <w:t xml:space="preserve">Enseñanza práctica (Prácticas de manejo y de ejecución individual) </w:t>
            </w:r>
          </w:p>
          <w:p w:rsidR="00D111A2" w:rsidRPr="002F47A4" w:rsidRDefault="00263F91" w:rsidP="002F47A4">
            <w:pPr>
              <w:ind w:right="-569"/>
              <w:jc w:val="left"/>
              <w:rPr>
                <w:rFonts w:ascii="Verdana" w:hAnsi="Verdana"/>
                <w:lang w:val="es-ES"/>
              </w:rPr>
            </w:pPr>
            <w:r w:rsidRPr="002F47A4">
              <w:rPr>
                <w:rFonts w:ascii="Century" w:hAnsi="Century"/>
              </w:rPr>
              <w:t>Seminarios</w:t>
            </w:r>
          </w:p>
        </w:tc>
      </w:tr>
    </w:tbl>
    <w:p w:rsidR="00D111A2" w:rsidRPr="00263F91" w:rsidRDefault="00D111A2" w:rsidP="008A5370">
      <w:pPr>
        <w:ind w:left="-567" w:right="-569"/>
        <w:jc w:val="right"/>
        <w:rPr>
          <w:rFonts w:ascii="Arial" w:hAnsi="Arial"/>
          <w:b/>
          <w:sz w:val="28"/>
          <w:lang w:val="es-ES"/>
        </w:rPr>
      </w:pPr>
    </w:p>
    <w:tbl>
      <w:tblPr>
        <w:tblpPr w:leftFromText="141" w:rightFromText="141" w:vertAnchor="text" w:horzAnchor="margin" w:tblpX="-462" w:tblpY="1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111A2" w:rsidRPr="00263F91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69478D">
            <w:pPr>
              <w:ind w:left="142"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Criterios de Evaluación</w:t>
            </w:r>
          </w:p>
        </w:tc>
      </w:tr>
      <w:tr w:rsidR="00D111A2" w:rsidRPr="00263F9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2F" w:rsidRPr="002F47A4" w:rsidRDefault="002F2D2F" w:rsidP="002F2D2F">
            <w:pPr>
              <w:tabs>
                <w:tab w:val="left" w:pos="284"/>
              </w:tabs>
              <w:spacing w:after="0" w:line="240" w:lineRule="auto"/>
              <w:ind w:left="180"/>
              <w:rPr>
                <w:rFonts w:ascii="Century" w:hAnsi="Century" w:cs="Tahoma"/>
                <w:u w:val="single"/>
                <w:lang w:val="es-ES_tradnl"/>
              </w:rPr>
            </w:pPr>
            <w:r w:rsidRPr="002F47A4">
              <w:rPr>
                <w:rFonts w:ascii="Century" w:hAnsi="Century" w:cs="Tahoma"/>
                <w:u w:val="single"/>
                <w:lang w:val="es-ES_tradnl"/>
              </w:rPr>
              <w:t>Teoría</w:t>
            </w:r>
            <w:r w:rsidRPr="002F47A4">
              <w:rPr>
                <w:rFonts w:ascii="Century" w:hAnsi="Century" w:cs="Tahoma"/>
                <w:lang w:val="es-ES_tradnl"/>
              </w:rPr>
              <w:t xml:space="preserve">: Evaluación continua o examen escrito sobre el temario teórico del programa de la asignatura. </w:t>
            </w:r>
            <w:r w:rsidRPr="002F47A4">
              <w:rPr>
                <w:rFonts w:ascii="Century" w:hAnsi="Century" w:cs="Tahoma"/>
                <w:lang w:val="es-ES"/>
              </w:rPr>
              <w:t>Se exigirá para aprobar la asignatura una calificación mínima de 5 puntos sobre 10.</w:t>
            </w:r>
          </w:p>
          <w:p w:rsidR="002F2D2F" w:rsidRPr="002F47A4" w:rsidRDefault="002F2D2F" w:rsidP="002F2D2F">
            <w:pPr>
              <w:tabs>
                <w:tab w:val="left" w:pos="284"/>
              </w:tabs>
              <w:spacing w:after="0" w:line="240" w:lineRule="auto"/>
              <w:ind w:left="180"/>
              <w:rPr>
                <w:rFonts w:ascii="Century" w:hAnsi="Century" w:cs="Tahoma"/>
                <w:lang w:val="es-ES_tradnl"/>
              </w:rPr>
            </w:pPr>
            <w:r w:rsidRPr="002F47A4">
              <w:rPr>
                <w:rFonts w:ascii="Century" w:hAnsi="Century" w:cs="Tahoma"/>
                <w:u w:val="single"/>
                <w:lang w:val="es-ES_tradnl"/>
              </w:rPr>
              <w:t>Prácticas</w:t>
            </w:r>
            <w:r w:rsidRPr="002F47A4">
              <w:rPr>
                <w:rFonts w:ascii="Century" w:hAnsi="Century" w:cs="Tahoma"/>
                <w:lang w:val="es-ES_tradnl"/>
              </w:rPr>
              <w:t xml:space="preserve">: Valoración de la aptitud y actitud del alumno durante las prácticas en el laboratorio y calificación de los informes escritos sobre los casos de Bacteriología y Micología que se han trabajado en el laboratorio. </w:t>
            </w:r>
          </w:p>
          <w:p w:rsidR="002F2D2F" w:rsidRPr="002F47A4" w:rsidRDefault="002F2D2F" w:rsidP="002F2D2F">
            <w:pPr>
              <w:ind w:left="180" w:right="-569"/>
              <w:rPr>
                <w:rFonts w:ascii="Century" w:hAnsi="Century" w:cs="Tahoma"/>
                <w:bCs/>
                <w:lang w:val="es-ES"/>
              </w:rPr>
            </w:pPr>
            <w:r w:rsidRPr="002F47A4">
              <w:rPr>
                <w:rFonts w:ascii="Century" w:hAnsi="Century" w:cs="Tahoma"/>
                <w:u w:val="single"/>
                <w:lang w:val="es-ES_tradnl"/>
              </w:rPr>
              <w:t>Seminario</w:t>
            </w:r>
            <w:r w:rsidRPr="002F47A4">
              <w:rPr>
                <w:rFonts w:ascii="Century" w:hAnsi="Century" w:cs="Tahoma"/>
                <w:lang w:val="es-ES_tradnl"/>
              </w:rPr>
              <w:t xml:space="preserve">: </w:t>
            </w:r>
            <w:r w:rsidRPr="002F47A4">
              <w:rPr>
                <w:rFonts w:ascii="Century" w:hAnsi="Century" w:cs="Tahoma"/>
                <w:bCs/>
                <w:lang w:val="es-ES"/>
              </w:rPr>
              <w:t>Valoración del trabajo de los alumnos en la lectura e interpretación de un caso clínico acompañado de búsqueda en la bibliografía científica, y de la exposición en clase del resumen de su trabajo.</w:t>
            </w:r>
          </w:p>
          <w:p w:rsidR="00D111A2" w:rsidRPr="002F47A4" w:rsidRDefault="002F2D2F" w:rsidP="002F2D2F">
            <w:pPr>
              <w:ind w:left="180" w:right="-569"/>
              <w:rPr>
                <w:color w:val="17365D"/>
                <w:lang w:val="es-ES"/>
              </w:rPr>
            </w:pPr>
            <w:r w:rsidRPr="002F47A4">
              <w:rPr>
                <w:rFonts w:ascii="Century" w:hAnsi="Century" w:cs="Tahoma"/>
                <w:lang w:val="es-ES"/>
              </w:rPr>
              <w:t xml:space="preserve">La </w:t>
            </w:r>
            <w:r w:rsidRPr="002F47A4">
              <w:rPr>
                <w:rFonts w:ascii="Century" w:hAnsi="Century" w:cs="Tahoma"/>
                <w:u w:val="single"/>
                <w:lang w:val="es-ES"/>
              </w:rPr>
              <w:t>calificación final</w:t>
            </w:r>
            <w:r w:rsidRPr="002F47A4">
              <w:rPr>
                <w:rFonts w:ascii="Century" w:hAnsi="Century" w:cs="Tahoma"/>
                <w:lang w:val="es-ES"/>
              </w:rPr>
              <w:t xml:space="preserve"> de la asignatura reflejará la calificación ponderada de cada uno de los tres apartados.</w:t>
            </w:r>
          </w:p>
        </w:tc>
      </w:tr>
    </w:tbl>
    <w:p w:rsidR="00D111A2" w:rsidRPr="00263F91" w:rsidRDefault="00D111A2" w:rsidP="002F47A4">
      <w:pPr>
        <w:ind w:right="-569"/>
        <w:rPr>
          <w:rFonts w:ascii="Arial" w:hAnsi="Arial"/>
          <w:b/>
          <w:sz w:val="28"/>
          <w:lang w:val="es-ES"/>
        </w:rPr>
      </w:pPr>
    </w:p>
    <w:tbl>
      <w:tblPr>
        <w:tblpPr w:leftFromText="141" w:rightFromText="141" w:vertAnchor="text" w:horzAnchor="margin" w:tblpX="-462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D111A2" w:rsidRPr="00263F9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11A2" w:rsidRPr="00263F91" w:rsidRDefault="00D111A2" w:rsidP="0069478D">
            <w:pPr>
              <w:ind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Otra Información Relevante</w:t>
            </w:r>
          </w:p>
        </w:tc>
      </w:tr>
      <w:tr w:rsidR="00D111A2" w:rsidRPr="00263F9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1A2" w:rsidRPr="00263F91" w:rsidRDefault="00D111A2" w:rsidP="0069478D">
            <w:pPr>
              <w:ind w:right="-569"/>
              <w:rPr>
                <w:rFonts w:ascii="Verdana" w:hAnsi="Verdana" w:cs="Tahoma"/>
                <w:sz w:val="22"/>
                <w:szCs w:val="22"/>
                <w:lang w:val="es-ES"/>
              </w:rPr>
            </w:pPr>
          </w:p>
        </w:tc>
      </w:tr>
    </w:tbl>
    <w:p w:rsidR="00D111A2" w:rsidRPr="00263F91" w:rsidRDefault="00D111A2" w:rsidP="0069478D">
      <w:pPr>
        <w:ind w:right="-569"/>
        <w:rPr>
          <w:rFonts w:ascii="Arial" w:hAnsi="Arial"/>
          <w:b/>
          <w:sz w:val="28"/>
          <w:lang w:val="es-ES"/>
        </w:rPr>
      </w:pPr>
    </w:p>
    <w:tbl>
      <w:tblPr>
        <w:tblW w:w="10433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3"/>
      </w:tblGrid>
      <w:tr w:rsidR="00D111A2" w:rsidRPr="00263F91">
        <w:trPr>
          <w:trHeight w:val="408"/>
          <w:jc w:val="center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111A2" w:rsidRPr="00263F91" w:rsidRDefault="00D111A2" w:rsidP="0069478D">
            <w:pPr>
              <w:ind w:right="-569"/>
              <w:rPr>
                <w:rFonts w:ascii="Tahoma" w:hAnsi="Tahoma" w:cs="Tahoma"/>
                <w:b/>
                <w:lang w:val="es-ES"/>
              </w:rPr>
            </w:pPr>
            <w:r w:rsidRPr="00263F91">
              <w:rPr>
                <w:rFonts w:ascii="Tahoma" w:hAnsi="Tahoma" w:cs="Tahoma"/>
                <w:b/>
                <w:lang w:val="es-ES"/>
              </w:rPr>
              <w:t>Bibliografía  Básica Recomendada</w:t>
            </w:r>
          </w:p>
        </w:tc>
      </w:tr>
      <w:tr w:rsidR="00D111A2" w:rsidRPr="00263F91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n-GB"/>
              </w:rPr>
            </w:pPr>
            <w:r w:rsidRPr="002F47A4">
              <w:rPr>
                <w:rFonts w:ascii="Century" w:hAnsi="Century"/>
                <w:lang w:val="en-GB"/>
              </w:rPr>
              <w:t>FLEMIG D.O., RICHARDSON J.H., TULIS J.J., VESÑLEY D. Laboratory Safety. Principles and Practice. 2ª Ed. ASM. Press, Washington, 1995.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n-GB"/>
              </w:rPr>
            </w:pPr>
            <w:r w:rsidRPr="002F47A4">
              <w:rPr>
                <w:rFonts w:ascii="Century" w:hAnsi="Century"/>
                <w:lang w:val="en-GB"/>
              </w:rPr>
              <w:t>HOOG G.S., GUARRO J., GENÉ J., FIGUERAS M.J. Atlas of Clinical  Fungi 2ª Ed. CBS Holanda y  Universidad Rovira i Virgili España, 2000.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n-GB"/>
              </w:rPr>
            </w:pPr>
            <w:r w:rsidRPr="002F47A4">
              <w:rPr>
                <w:rFonts w:ascii="Century" w:hAnsi="Century"/>
                <w:lang w:val="en-GB"/>
              </w:rPr>
              <w:t xml:space="preserve">ISENBERG H.D. Essential Procedures en Clinical Microbiology. ASM Press, Washington, 1998. 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n-GB"/>
              </w:rPr>
            </w:pPr>
            <w:r w:rsidRPr="002F47A4">
              <w:rPr>
                <w:rFonts w:ascii="Century" w:hAnsi="Century"/>
                <w:lang w:val="en-GB"/>
              </w:rPr>
              <w:t>MEYER, D.J..; HARVEY, J.W. Veterinary Laboratory Medicine</w:t>
            </w:r>
            <w:r w:rsidRPr="002F47A4">
              <w:rPr>
                <w:rFonts w:ascii="Century" w:hAnsi="Century"/>
                <w:bCs/>
                <w:lang w:val="en-GB"/>
              </w:rPr>
              <w:t xml:space="preserve"> </w:t>
            </w:r>
            <w:r w:rsidRPr="002F47A4">
              <w:rPr>
                <w:rFonts w:ascii="Century" w:hAnsi="Century"/>
                <w:lang w:val="en-GB"/>
              </w:rPr>
              <w:t>W.B. Saunders Company, Philadelphia, 1998.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n-GB"/>
              </w:rPr>
            </w:pPr>
            <w:r w:rsidRPr="002F47A4">
              <w:rPr>
                <w:rFonts w:ascii="Century" w:hAnsi="Century"/>
                <w:lang w:val="en-GB"/>
              </w:rPr>
              <w:t>MURPHY F.A., GIBBS E.P.J., HORZINEK M.J., STUDDERT M.J. Veterinary Virology. 3ª ed. Ed. Academic Press, 1999.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</w:rPr>
            </w:pPr>
            <w:r w:rsidRPr="002F47A4">
              <w:rPr>
                <w:rFonts w:ascii="Century" w:hAnsi="Century"/>
              </w:rPr>
              <w:t xml:space="preserve">MURRAY P.R. (ed.). Manual of Clinical Microbiology, 8ª Ed. American Society for Microbiology, Washington D.C.,  2003 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</w:rPr>
            </w:pPr>
            <w:r w:rsidRPr="002F47A4">
              <w:rPr>
                <w:rFonts w:ascii="Century" w:hAnsi="Century"/>
                <w:lang w:val="es-ES"/>
              </w:rPr>
              <w:t xml:space="preserve">PEMÁN J., MARTÍN-MAZUELOS E., RUBIO M.C. Identificación y diagnóstico en Micología Clínica 1ª Ed. </w:t>
            </w:r>
            <w:r w:rsidRPr="002F47A4">
              <w:rPr>
                <w:rFonts w:ascii="Century" w:hAnsi="Century"/>
              </w:rPr>
              <w:t>Revista Ibérica de Micología, 2001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n-GB"/>
              </w:rPr>
            </w:pPr>
            <w:r w:rsidRPr="002F47A4">
              <w:rPr>
                <w:rFonts w:ascii="Century" w:hAnsi="Century"/>
                <w:lang w:val="en-GB"/>
              </w:rPr>
              <w:t xml:space="preserve">PERSING D.H., SMITH T.F., TENOVER F.C., WHITE T.J. </w:t>
            </w:r>
            <w:r w:rsidRPr="002F47A4">
              <w:rPr>
                <w:rFonts w:ascii="Century" w:hAnsi="Century"/>
              </w:rPr>
              <w:t xml:space="preserve">(ed.). </w:t>
            </w:r>
            <w:r w:rsidRPr="002F47A4">
              <w:rPr>
                <w:rFonts w:ascii="Century" w:hAnsi="Century"/>
                <w:lang w:val="en-GB"/>
              </w:rPr>
              <w:t>Molecular Microbiology. American Society for Microbiology, Washington D.C. 2004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 w:cs="Arial"/>
              </w:rPr>
            </w:pPr>
            <w:r w:rsidRPr="002F47A4">
              <w:rPr>
                <w:lang w:val="en-GB"/>
              </w:rPr>
              <w:t>QUINN P.J., MARKEY B.K., CARTER M.E., DONNELLY W</w:t>
            </w:r>
            <w:r w:rsidRPr="002F47A4">
              <w:rPr>
                <w:rFonts w:ascii="Century" w:hAnsi="Century"/>
                <w:lang w:val="en-GB"/>
              </w:rPr>
              <w:t xml:space="preserve">.J., LEONARD F.C. Veterinary Microbiology and Microbial Disease. </w:t>
            </w:r>
            <w:r w:rsidRPr="002F47A4">
              <w:rPr>
                <w:rFonts w:ascii="Century" w:hAnsi="Century"/>
              </w:rPr>
              <w:t xml:space="preserve">Blackwell, 2001. 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 w:cs="Arial"/>
              </w:rPr>
            </w:pPr>
            <w:hyperlink r:id="rId13" w:history="1">
              <w:r w:rsidRPr="002F47A4">
                <w:rPr>
                  <w:rStyle w:val="Hipervnculo"/>
                  <w:rFonts w:ascii="Century" w:hAnsi="Century" w:cs="Arial"/>
                  <w:color w:val="auto"/>
                  <w:u w:val="none"/>
                  <w:lang w:val="en-GB"/>
                </w:rPr>
                <w:t>QUINN, P.J.</w:t>
              </w:r>
            </w:hyperlink>
            <w:r w:rsidRPr="002F47A4">
              <w:rPr>
                <w:rFonts w:ascii="Century" w:hAnsi="Century" w:cs="Arial"/>
                <w:lang w:val="en-GB"/>
              </w:rPr>
              <w:t xml:space="preserve">, </w:t>
            </w:r>
            <w:hyperlink r:id="rId14" w:history="1">
              <w:r w:rsidRPr="002F47A4">
                <w:rPr>
                  <w:rStyle w:val="Hipervnculo"/>
                  <w:rFonts w:ascii="Century" w:hAnsi="Century" w:cs="Arial"/>
                  <w:color w:val="auto"/>
                  <w:u w:val="none"/>
                  <w:lang w:val="en-GB"/>
                </w:rPr>
                <w:t>MARKEY, B.K.</w:t>
              </w:r>
            </w:hyperlink>
            <w:r w:rsidRPr="002F47A4">
              <w:rPr>
                <w:rFonts w:ascii="Century" w:hAnsi="Century" w:cs="Arial"/>
                <w:lang w:val="en-GB"/>
              </w:rPr>
              <w:t xml:space="preserve">, </w:t>
            </w:r>
            <w:hyperlink r:id="rId15" w:history="1">
              <w:r w:rsidRPr="002F47A4">
                <w:rPr>
                  <w:rStyle w:val="Hipervnculo"/>
                  <w:rFonts w:ascii="Century" w:hAnsi="Century" w:cs="Arial"/>
                  <w:color w:val="auto"/>
                  <w:u w:val="none"/>
                  <w:lang w:val="en-GB"/>
                </w:rPr>
                <w:t>LEONARD, F.C.</w:t>
              </w:r>
            </w:hyperlink>
            <w:r w:rsidRPr="002F47A4">
              <w:rPr>
                <w:rFonts w:ascii="Century" w:hAnsi="Century" w:cs="Arial"/>
                <w:lang w:val="en-GB"/>
              </w:rPr>
              <w:t xml:space="preserve"> </w:t>
            </w:r>
            <w:r w:rsidRPr="002F47A4">
              <w:rPr>
                <w:rFonts w:ascii="Century" w:hAnsi="Century" w:cs="Arial"/>
              </w:rPr>
              <w:t xml:space="preserve">(ed.) </w:t>
            </w:r>
            <w:r w:rsidRPr="002F47A4">
              <w:rPr>
                <w:rFonts w:ascii="Century" w:hAnsi="Century" w:cs="Arial"/>
                <w:lang w:val="en-GB"/>
              </w:rPr>
              <w:t>Veterinary microbiology and microbial disease. Wiley-Blacwell, 2011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</w:rPr>
            </w:pPr>
            <w:r w:rsidRPr="002F47A4">
              <w:rPr>
                <w:rFonts w:ascii="Century" w:hAnsi="Century"/>
                <w:lang w:val="en-GB"/>
              </w:rPr>
              <w:t xml:space="preserve">SONGER J.G., POST K.W. Veterinary Microbiology. Bacterial and fungal agents of animal disease. </w:t>
            </w:r>
            <w:r w:rsidRPr="002F47A4">
              <w:rPr>
                <w:rFonts w:ascii="Century" w:hAnsi="Century"/>
              </w:rPr>
              <w:t xml:space="preserve">Elsevier Saunders. St. Louis, Missouri, 2005.   </w:t>
            </w:r>
          </w:p>
          <w:p w:rsidR="002F2D2F" w:rsidRPr="002F47A4" w:rsidRDefault="002F2D2F" w:rsidP="002F2D2F">
            <w:pPr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left="305" w:hanging="305"/>
              <w:rPr>
                <w:rFonts w:ascii="Century" w:hAnsi="Century"/>
                <w:lang w:val="es-ES_tradnl"/>
              </w:rPr>
            </w:pPr>
            <w:r w:rsidRPr="002F47A4">
              <w:rPr>
                <w:rFonts w:ascii="Century" w:hAnsi="Century"/>
                <w:lang w:val="es-ES_tradnl"/>
              </w:rPr>
              <w:t>TIZARD I.R. Inmunología Veterinaria. 6ª ed. McGraw-Hill Interamericana, Mexico, 2002.</w:t>
            </w:r>
          </w:p>
          <w:p w:rsidR="00D111A2" w:rsidRPr="00263F91" w:rsidRDefault="00D111A2" w:rsidP="002F2D2F">
            <w:pPr>
              <w:ind w:right="-569"/>
              <w:rPr>
                <w:rFonts w:ascii="Tahoma" w:hAnsi="Tahoma" w:cs="Tahoma"/>
                <w:color w:val="0000FF"/>
                <w:sz w:val="22"/>
                <w:szCs w:val="22"/>
                <w:lang w:val="es-ES"/>
              </w:rPr>
            </w:pPr>
          </w:p>
        </w:tc>
      </w:tr>
    </w:tbl>
    <w:p w:rsidR="00D111A2" w:rsidRPr="00263F91" w:rsidRDefault="00D111A2" w:rsidP="0025342A">
      <w:pPr>
        <w:rPr>
          <w:lang w:val="es-ES"/>
        </w:rPr>
      </w:pPr>
    </w:p>
    <w:sectPr w:rsidR="00D111A2" w:rsidRPr="00263F91" w:rsidSect="00851CF3">
      <w:footerReference w:type="even" r:id="rId16"/>
      <w:footerReference w:type="default" r:id="rId17"/>
      <w:pgSz w:w="11906" w:h="16838"/>
      <w:pgMar w:top="540" w:right="1418" w:bottom="89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30" w:rsidRDefault="00FE2230">
      <w:r>
        <w:separator/>
      </w:r>
    </w:p>
  </w:endnote>
  <w:endnote w:type="continuationSeparator" w:id="0">
    <w:p w:rsidR="00FE2230" w:rsidRDefault="00FE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A4" w:rsidRDefault="002F47A4" w:rsidP="002F4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4" w:rsidRDefault="002F47A4" w:rsidP="002F47A4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A4" w:rsidRDefault="002F47A4" w:rsidP="002F4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545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F47A4" w:rsidRDefault="002F47A4" w:rsidP="002F47A4">
    <w:pPr>
      <w:pStyle w:val="Piedep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30" w:rsidRDefault="00FE2230">
      <w:r>
        <w:separator/>
      </w:r>
    </w:p>
  </w:footnote>
  <w:footnote w:type="continuationSeparator" w:id="0">
    <w:p w:rsidR="00FE2230" w:rsidRDefault="00FE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E3"/>
    <w:multiLevelType w:val="hybridMultilevel"/>
    <w:tmpl w:val="23C6B8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770B7B"/>
    <w:multiLevelType w:val="hybridMultilevel"/>
    <w:tmpl w:val="1910CD74"/>
    <w:lvl w:ilvl="0" w:tplc="4EDE3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4A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A33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E34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A8B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8AA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2DDD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E52D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B1D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34180"/>
    <w:multiLevelType w:val="hybridMultilevel"/>
    <w:tmpl w:val="1F72B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66450"/>
    <w:multiLevelType w:val="singleLevel"/>
    <w:tmpl w:val="AA50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8102DF7"/>
    <w:multiLevelType w:val="hybridMultilevel"/>
    <w:tmpl w:val="11F41716"/>
    <w:lvl w:ilvl="0" w:tplc="DD20A78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F302E0"/>
    <w:multiLevelType w:val="multilevel"/>
    <w:tmpl w:val="3FC276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61B89"/>
    <w:multiLevelType w:val="hybridMultilevel"/>
    <w:tmpl w:val="3FC276E4"/>
    <w:lvl w:ilvl="0" w:tplc="4EDE3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A48F2"/>
    <w:multiLevelType w:val="hybridMultilevel"/>
    <w:tmpl w:val="DB96ABE6"/>
    <w:lvl w:ilvl="0" w:tplc="4254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637776"/>
    <w:multiLevelType w:val="hybridMultilevel"/>
    <w:tmpl w:val="51A6C106"/>
    <w:lvl w:ilvl="0" w:tplc="A2FE8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47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6AA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04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401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F4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B4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EAC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A68B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306E8"/>
    <w:multiLevelType w:val="hybridMultilevel"/>
    <w:tmpl w:val="6A3CF24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607540"/>
    <w:multiLevelType w:val="hybridMultilevel"/>
    <w:tmpl w:val="168A3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C771F"/>
    <w:multiLevelType w:val="hybridMultilevel"/>
    <w:tmpl w:val="8760E0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C6730"/>
    <w:multiLevelType w:val="hybridMultilevel"/>
    <w:tmpl w:val="CC9ABD2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576AE"/>
    <w:multiLevelType w:val="hybridMultilevel"/>
    <w:tmpl w:val="91444F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444EF6"/>
    <w:multiLevelType w:val="hybridMultilevel"/>
    <w:tmpl w:val="D44E43CA"/>
    <w:lvl w:ilvl="0" w:tplc="B52AB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28DCEC96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7E2EBA"/>
    <w:multiLevelType w:val="hybridMultilevel"/>
    <w:tmpl w:val="ADECD070"/>
    <w:lvl w:ilvl="0" w:tplc="B52AB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11286"/>
    <w:multiLevelType w:val="hybridMultilevel"/>
    <w:tmpl w:val="A3FC7DE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B56E5B"/>
    <w:multiLevelType w:val="singleLevel"/>
    <w:tmpl w:val="B1C0C9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574D7DFF"/>
    <w:multiLevelType w:val="hybridMultilevel"/>
    <w:tmpl w:val="57B078A4"/>
    <w:lvl w:ilvl="0" w:tplc="0C0A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12C55"/>
    <w:multiLevelType w:val="hybridMultilevel"/>
    <w:tmpl w:val="3DB0EACA"/>
    <w:lvl w:ilvl="0" w:tplc="836C3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7C64E1"/>
    <w:multiLevelType w:val="hybridMultilevel"/>
    <w:tmpl w:val="FC1659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3200F8"/>
    <w:multiLevelType w:val="hybridMultilevel"/>
    <w:tmpl w:val="924AB0B6"/>
    <w:lvl w:ilvl="0" w:tplc="C65E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481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D82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725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8EF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ABF0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09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E5D8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3B1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A5CC9"/>
    <w:multiLevelType w:val="hybridMultilevel"/>
    <w:tmpl w:val="E5A8F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F715B3"/>
    <w:multiLevelType w:val="hybridMultilevel"/>
    <w:tmpl w:val="D3BA2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458B0"/>
    <w:multiLevelType w:val="hybridMultilevel"/>
    <w:tmpl w:val="2D72E4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AD65CD"/>
    <w:multiLevelType w:val="hybridMultilevel"/>
    <w:tmpl w:val="4D88F366"/>
    <w:lvl w:ilvl="0" w:tplc="2F448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21"/>
  </w:num>
  <w:num w:numId="5">
    <w:abstractNumId w:val="6"/>
  </w:num>
  <w:num w:numId="6">
    <w:abstractNumId w:val="5"/>
  </w:num>
  <w:num w:numId="7">
    <w:abstractNumId w:val="22"/>
  </w:num>
  <w:num w:numId="8">
    <w:abstractNumId w:val="19"/>
  </w:num>
  <w:num w:numId="9">
    <w:abstractNumId w:val="13"/>
  </w:num>
  <w:num w:numId="10">
    <w:abstractNumId w:val="2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  <w:num w:numId="16">
    <w:abstractNumId w:val="24"/>
  </w:num>
  <w:num w:numId="17">
    <w:abstractNumId w:val="16"/>
  </w:num>
  <w:num w:numId="18">
    <w:abstractNumId w:val="7"/>
  </w:num>
  <w:num w:numId="19">
    <w:abstractNumId w:val="18"/>
  </w:num>
  <w:num w:numId="20">
    <w:abstractNumId w:val="8"/>
  </w:num>
  <w:num w:numId="21">
    <w:abstractNumId w:val="15"/>
  </w:num>
  <w:num w:numId="22">
    <w:abstractNumId w:val="2"/>
  </w:num>
  <w:num w:numId="23">
    <w:abstractNumId w:val="14"/>
  </w:num>
  <w:num w:numId="24">
    <w:abstractNumId w:val="25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03B"/>
    <w:rsid w:val="00075918"/>
    <w:rsid w:val="000C1549"/>
    <w:rsid w:val="001567C1"/>
    <w:rsid w:val="00181FFF"/>
    <w:rsid w:val="001B5B90"/>
    <w:rsid w:val="001D5727"/>
    <w:rsid w:val="001E0F9B"/>
    <w:rsid w:val="001F3E01"/>
    <w:rsid w:val="00212327"/>
    <w:rsid w:val="002212C1"/>
    <w:rsid w:val="0023783F"/>
    <w:rsid w:val="0025342A"/>
    <w:rsid w:val="00263F91"/>
    <w:rsid w:val="00275452"/>
    <w:rsid w:val="002C4468"/>
    <w:rsid w:val="002F2D2F"/>
    <w:rsid w:val="002F47A4"/>
    <w:rsid w:val="00337168"/>
    <w:rsid w:val="003A0F40"/>
    <w:rsid w:val="003D1288"/>
    <w:rsid w:val="003D7117"/>
    <w:rsid w:val="00445771"/>
    <w:rsid w:val="0045337F"/>
    <w:rsid w:val="00471965"/>
    <w:rsid w:val="0047572B"/>
    <w:rsid w:val="00491BBB"/>
    <w:rsid w:val="004921A9"/>
    <w:rsid w:val="004F3E33"/>
    <w:rsid w:val="004F5924"/>
    <w:rsid w:val="0056461A"/>
    <w:rsid w:val="00564669"/>
    <w:rsid w:val="005649FA"/>
    <w:rsid w:val="005707EB"/>
    <w:rsid w:val="00662DC1"/>
    <w:rsid w:val="00687C99"/>
    <w:rsid w:val="0069478D"/>
    <w:rsid w:val="006A041C"/>
    <w:rsid w:val="006B1C75"/>
    <w:rsid w:val="006E69FB"/>
    <w:rsid w:val="006F034E"/>
    <w:rsid w:val="00716A4C"/>
    <w:rsid w:val="00721189"/>
    <w:rsid w:val="00752D5E"/>
    <w:rsid w:val="00772D46"/>
    <w:rsid w:val="00773636"/>
    <w:rsid w:val="00780B38"/>
    <w:rsid w:val="00797DEE"/>
    <w:rsid w:val="007A0F9C"/>
    <w:rsid w:val="00851CF3"/>
    <w:rsid w:val="00862A9C"/>
    <w:rsid w:val="008A5370"/>
    <w:rsid w:val="008A6DC2"/>
    <w:rsid w:val="008B2B6F"/>
    <w:rsid w:val="008C37F3"/>
    <w:rsid w:val="008D164B"/>
    <w:rsid w:val="00933229"/>
    <w:rsid w:val="00985999"/>
    <w:rsid w:val="009E699A"/>
    <w:rsid w:val="009F48CF"/>
    <w:rsid w:val="009F4E89"/>
    <w:rsid w:val="00A32B51"/>
    <w:rsid w:val="00A40477"/>
    <w:rsid w:val="00A802FB"/>
    <w:rsid w:val="00AB418D"/>
    <w:rsid w:val="00B1355B"/>
    <w:rsid w:val="00B5316C"/>
    <w:rsid w:val="00B6447B"/>
    <w:rsid w:val="00B82609"/>
    <w:rsid w:val="00BB2AB9"/>
    <w:rsid w:val="00BF331C"/>
    <w:rsid w:val="00CD6113"/>
    <w:rsid w:val="00CF51F0"/>
    <w:rsid w:val="00D111A2"/>
    <w:rsid w:val="00D17A43"/>
    <w:rsid w:val="00D27B2D"/>
    <w:rsid w:val="00D459C0"/>
    <w:rsid w:val="00D51760"/>
    <w:rsid w:val="00E02964"/>
    <w:rsid w:val="00E03218"/>
    <w:rsid w:val="00E70CB8"/>
    <w:rsid w:val="00F0386E"/>
    <w:rsid w:val="00F7021C"/>
    <w:rsid w:val="00FB49EF"/>
    <w:rsid w:val="00FC603B"/>
    <w:rsid w:val="00FD5D2C"/>
    <w:rsid w:val="00F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A4C"/>
    <w:pPr>
      <w:spacing w:after="200" w:line="276" w:lineRule="auto"/>
      <w:jc w:val="both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16A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6A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16A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716A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716A4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qFormat/>
    <w:rsid w:val="00716A4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qFormat/>
    <w:rsid w:val="00716A4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qFormat/>
    <w:rsid w:val="00716A4C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qFormat/>
    <w:rsid w:val="00716A4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rsid w:val="00716A4C"/>
    <w:rPr>
      <w:rFonts w:cs="Times New Roman"/>
      <w:smallCaps/>
      <w:spacing w:val="5"/>
      <w:sz w:val="32"/>
      <w:szCs w:val="32"/>
    </w:rPr>
  </w:style>
  <w:style w:type="character" w:customStyle="1" w:styleId="Ttulo2Car">
    <w:name w:val="Título 2 Car"/>
    <w:link w:val="Ttulo2"/>
    <w:rsid w:val="00716A4C"/>
    <w:rPr>
      <w:rFonts w:cs="Times New Roman"/>
      <w:smallCaps/>
      <w:spacing w:val="5"/>
      <w:sz w:val="28"/>
      <w:szCs w:val="28"/>
    </w:rPr>
  </w:style>
  <w:style w:type="character" w:customStyle="1" w:styleId="Ttulo3Car">
    <w:name w:val="Título 3 Car"/>
    <w:link w:val="Ttulo3"/>
    <w:semiHidden/>
    <w:rsid w:val="00716A4C"/>
    <w:rPr>
      <w:rFonts w:cs="Times New Roman"/>
      <w:smallCaps/>
      <w:spacing w:val="5"/>
      <w:sz w:val="24"/>
      <w:szCs w:val="24"/>
    </w:rPr>
  </w:style>
  <w:style w:type="character" w:customStyle="1" w:styleId="Ttulo4Car">
    <w:name w:val="Título 4 Car"/>
    <w:link w:val="Ttulo4"/>
    <w:semiHidden/>
    <w:rsid w:val="00716A4C"/>
    <w:rPr>
      <w:rFonts w:cs="Times New Roman"/>
      <w:smallCaps/>
      <w:spacing w:val="10"/>
      <w:sz w:val="22"/>
      <w:szCs w:val="22"/>
    </w:rPr>
  </w:style>
  <w:style w:type="character" w:customStyle="1" w:styleId="Ttulo5Car">
    <w:name w:val="Título 5 Car"/>
    <w:link w:val="Ttulo5"/>
    <w:semiHidden/>
    <w:rsid w:val="00716A4C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">
    <w:name w:val="Título 6 Car"/>
    <w:link w:val="Ttulo6"/>
    <w:semiHidden/>
    <w:rsid w:val="00716A4C"/>
    <w:rPr>
      <w:rFonts w:cs="Times New Roman"/>
      <w:smallCaps/>
      <w:color w:val="C0504D"/>
      <w:spacing w:val="5"/>
      <w:sz w:val="22"/>
    </w:rPr>
  </w:style>
  <w:style w:type="character" w:customStyle="1" w:styleId="Ttulo7Car">
    <w:name w:val="Título 7 Car"/>
    <w:link w:val="Ttulo7"/>
    <w:semiHidden/>
    <w:rsid w:val="00716A4C"/>
    <w:rPr>
      <w:rFonts w:cs="Times New Roman"/>
      <w:b/>
      <w:smallCaps/>
      <w:color w:val="C0504D"/>
      <w:spacing w:val="10"/>
    </w:rPr>
  </w:style>
  <w:style w:type="character" w:customStyle="1" w:styleId="Ttulo8Car">
    <w:name w:val="Título 8 Car"/>
    <w:link w:val="Ttulo8"/>
    <w:semiHidden/>
    <w:rsid w:val="00716A4C"/>
    <w:rPr>
      <w:rFonts w:cs="Times New Roman"/>
      <w:b/>
      <w:i/>
      <w:smallCaps/>
      <w:color w:val="943634"/>
    </w:rPr>
  </w:style>
  <w:style w:type="character" w:customStyle="1" w:styleId="Ttulo9Car">
    <w:name w:val="Título 9 Car"/>
    <w:link w:val="Ttulo9"/>
    <w:semiHidden/>
    <w:rsid w:val="00716A4C"/>
    <w:rPr>
      <w:rFonts w:cs="Times New Roman"/>
      <w:b/>
      <w:i/>
      <w:smallCaps/>
      <w:color w:val="622423"/>
    </w:rPr>
  </w:style>
  <w:style w:type="table" w:styleId="Tablaconcuadrcula">
    <w:name w:val="Table Grid"/>
    <w:basedOn w:val="Tablanormal"/>
    <w:rsid w:val="00FC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CF51F0"/>
    <w:rPr>
      <w:lang w:val="es-ES_tradnl"/>
    </w:rPr>
  </w:style>
  <w:style w:type="character" w:customStyle="1" w:styleId="SangradetextonormalCar">
    <w:name w:val="Sangría de texto normal Car"/>
    <w:link w:val="Sangradetextonormal"/>
    <w:semiHidden/>
    <w:rPr>
      <w:rFonts w:cs="Times New Roman"/>
      <w:sz w:val="20"/>
      <w:szCs w:val="20"/>
      <w:lang w:val="en-US" w:eastAsia="en-US"/>
    </w:rPr>
  </w:style>
  <w:style w:type="paragraph" w:customStyle="1" w:styleId="BodyTextIndent">
    <w:name w:val="Body Text Indent"/>
    <w:basedOn w:val="Normal"/>
    <w:link w:val="BodyTextIndentChar"/>
    <w:rsid w:val="00CF51F0"/>
    <w:rPr>
      <w:lang w:val="es-ES_tradnl"/>
    </w:rPr>
  </w:style>
  <w:style w:type="character" w:customStyle="1" w:styleId="BodyTextIndentChar">
    <w:name w:val="Body Text Indent Char"/>
    <w:link w:val="BodyTextIndent"/>
    <w:semiHidden/>
    <w:rPr>
      <w:rFonts w:cs="Times New Roman"/>
      <w:sz w:val="20"/>
      <w:szCs w:val="20"/>
      <w:lang w:val="en-US" w:eastAsia="en-US"/>
    </w:rPr>
  </w:style>
  <w:style w:type="character" w:styleId="Hipervnculo">
    <w:name w:val="Hyperlink"/>
    <w:rsid w:val="00CF51F0"/>
    <w:rPr>
      <w:rFonts w:cs="Times New Roman"/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716A4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link w:val="Ttulo"/>
    <w:rsid w:val="00716A4C"/>
    <w:rPr>
      <w:rFonts w:cs="Times New Roman"/>
      <w:smallCaps/>
      <w:sz w:val="48"/>
      <w:szCs w:val="48"/>
    </w:rPr>
  </w:style>
  <w:style w:type="paragraph" w:styleId="Textoindependiente">
    <w:name w:val="Body Text"/>
    <w:basedOn w:val="Normal"/>
    <w:link w:val="TextoindependienteCar"/>
    <w:rsid w:val="004921A9"/>
    <w:pPr>
      <w:spacing w:after="120"/>
    </w:pPr>
  </w:style>
  <w:style w:type="character" w:customStyle="1" w:styleId="TextoindependienteCar">
    <w:name w:val="Texto independiente Car"/>
    <w:link w:val="Textoindependiente"/>
    <w:semiHidden/>
    <w:rPr>
      <w:rFonts w:cs="Times New Roman"/>
      <w:sz w:val="20"/>
      <w:szCs w:val="20"/>
      <w:lang w:val="en-US" w:eastAsia="en-US"/>
    </w:rPr>
  </w:style>
  <w:style w:type="paragraph" w:styleId="Epgrafe">
    <w:name w:val="caption"/>
    <w:basedOn w:val="Normal"/>
    <w:next w:val="Normal"/>
    <w:qFormat/>
    <w:rsid w:val="00716A4C"/>
    <w:rPr>
      <w:b/>
      <w:bCs/>
      <w:caps/>
      <w:sz w:val="16"/>
      <w:szCs w:val="18"/>
    </w:rPr>
  </w:style>
  <w:style w:type="paragraph" w:styleId="Subttulo">
    <w:name w:val="Subtitle"/>
    <w:basedOn w:val="Normal"/>
    <w:next w:val="Normal"/>
    <w:link w:val="SubttuloCar"/>
    <w:qFormat/>
    <w:rsid w:val="00716A4C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tuloCar">
    <w:name w:val="Subtítulo Car"/>
    <w:link w:val="Subttulo"/>
    <w:rsid w:val="00716A4C"/>
    <w:rPr>
      <w:rFonts w:ascii="Cambria" w:hAnsi="Cambria" w:cs="Times New Roman"/>
      <w:sz w:val="22"/>
      <w:szCs w:val="22"/>
    </w:rPr>
  </w:style>
  <w:style w:type="character" w:styleId="Textoennegrita">
    <w:name w:val="Strong"/>
    <w:qFormat/>
    <w:rsid w:val="00716A4C"/>
    <w:rPr>
      <w:rFonts w:cs="Times New Roman"/>
      <w:b/>
      <w:color w:val="C0504D"/>
    </w:rPr>
  </w:style>
  <w:style w:type="character" w:styleId="nfasis">
    <w:name w:val="Emphasis"/>
    <w:qFormat/>
    <w:rsid w:val="00716A4C"/>
    <w:rPr>
      <w:rFonts w:cs="Times New Roman"/>
      <w:b/>
      <w:i/>
      <w:spacing w:val="10"/>
    </w:rPr>
  </w:style>
  <w:style w:type="paragraph" w:customStyle="1" w:styleId="NoSpacing">
    <w:name w:val="No Spacing"/>
    <w:basedOn w:val="Normal"/>
    <w:link w:val="NoSpacingChar"/>
    <w:rsid w:val="00716A4C"/>
    <w:pPr>
      <w:spacing w:after="0" w:line="240" w:lineRule="auto"/>
    </w:pPr>
  </w:style>
  <w:style w:type="character" w:customStyle="1" w:styleId="NoSpacingChar">
    <w:name w:val="No Spacing Char"/>
    <w:link w:val="NoSpacing"/>
    <w:rsid w:val="00716A4C"/>
    <w:rPr>
      <w:rFonts w:cs="Times New Roman"/>
    </w:rPr>
  </w:style>
  <w:style w:type="paragraph" w:customStyle="1" w:styleId="ListParagraph">
    <w:name w:val="List Paragraph"/>
    <w:basedOn w:val="Normal"/>
    <w:rsid w:val="00716A4C"/>
    <w:pPr>
      <w:ind w:left="720"/>
    </w:pPr>
  </w:style>
  <w:style w:type="paragraph" w:customStyle="1" w:styleId="Quote">
    <w:name w:val="Quote"/>
    <w:basedOn w:val="Normal"/>
    <w:next w:val="Normal"/>
    <w:link w:val="QuoteChar"/>
    <w:rsid w:val="00716A4C"/>
    <w:rPr>
      <w:i/>
    </w:rPr>
  </w:style>
  <w:style w:type="character" w:customStyle="1" w:styleId="QuoteChar">
    <w:name w:val="Quote Char"/>
    <w:link w:val="Quote"/>
    <w:rsid w:val="00716A4C"/>
    <w:rPr>
      <w:rFonts w:cs="Times New Roman"/>
      <w:i/>
    </w:rPr>
  </w:style>
  <w:style w:type="paragraph" w:customStyle="1" w:styleId="IntenseQuote">
    <w:name w:val="Intense Quote"/>
    <w:basedOn w:val="Normal"/>
    <w:next w:val="Normal"/>
    <w:link w:val="IntenseQuoteChar"/>
    <w:rsid w:val="00716A4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rsid w:val="00716A4C"/>
    <w:rPr>
      <w:rFonts w:cs="Times New Roman"/>
      <w:b/>
      <w:i/>
      <w:color w:val="FFFFFF"/>
      <w:shd w:val="clear" w:color="auto" w:fill="C0504D"/>
    </w:rPr>
  </w:style>
  <w:style w:type="character" w:customStyle="1" w:styleId="SubtleEmphasis">
    <w:name w:val="Subtle Emphasis"/>
    <w:rsid w:val="00716A4C"/>
    <w:rPr>
      <w:rFonts w:cs="Times New Roman"/>
      <w:i/>
    </w:rPr>
  </w:style>
  <w:style w:type="character" w:customStyle="1" w:styleId="IntenseEmphasis">
    <w:name w:val="Intense Emphasis"/>
    <w:rsid w:val="00716A4C"/>
    <w:rPr>
      <w:rFonts w:cs="Times New Roman"/>
      <w:b/>
      <w:i/>
      <w:color w:val="C0504D"/>
      <w:spacing w:val="10"/>
    </w:rPr>
  </w:style>
  <w:style w:type="character" w:customStyle="1" w:styleId="SubtleReference">
    <w:name w:val="Subtle Reference"/>
    <w:rsid w:val="00716A4C"/>
    <w:rPr>
      <w:rFonts w:cs="Times New Roman"/>
      <w:b/>
    </w:rPr>
  </w:style>
  <w:style w:type="character" w:customStyle="1" w:styleId="IntenseReference">
    <w:name w:val="Intense Reference"/>
    <w:rsid w:val="00716A4C"/>
    <w:rPr>
      <w:rFonts w:cs="Times New Roman"/>
      <w:b/>
      <w:smallCaps/>
      <w:spacing w:val="5"/>
      <w:sz w:val="22"/>
      <w:u w:val="single"/>
    </w:rPr>
  </w:style>
  <w:style w:type="character" w:customStyle="1" w:styleId="BookTitle">
    <w:name w:val="Book Title"/>
    <w:rsid w:val="00716A4C"/>
    <w:rPr>
      <w:rFonts w:ascii="Cambria" w:hAnsi="Cambria" w:cs="Times New Roman"/>
      <w:i/>
      <w:sz w:val="20"/>
    </w:rPr>
  </w:style>
  <w:style w:type="paragraph" w:customStyle="1" w:styleId="TOCHeading">
    <w:name w:val="TOC Heading"/>
    <w:basedOn w:val="Ttulo1"/>
    <w:next w:val="Normal"/>
    <w:rsid w:val="00716A4C"/>
    <w:pPr>
      <w:outlineLvl w:val="9"/>
    </w:pPr>
  </w:style>
  <w:style w:type="paragraph" w:styleId="Textodeglobo">
    <w:name w:val="Balloon Text"/>
    <w:basedOn w:val="Normal"/>
    <w:link w:val="TextodegloboCar"/>
    <w:semiHidden/>
    <w:rsid w:val="006F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6F034E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rsid w:val="002F4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F4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teos@vet.ucm.es" TargetMode="External"/><Relationship Id="rId13" Type="http://schemas.openxmlformats.org/officeDocument/2006/relationships/hyperlink" Target="http://www.diazdesantos.es/libros/buscador/index_avanzado.php?cod_autor=145957&amp;autor=Quinn,%20P.J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gzorn@ucm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cutuli@ucm.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azdesantos.es/libros/buscador/index_avanzado.php?cod_autor=336385&amp;autor=Leonard,%20F.C." TargetMode="External"/><Relationship Id="rId10" Type="http://schemas.openxmlformats.org/officeDocument/2006/relationships/hyperlink" Target="mailto:mmblanco@ucm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aranaz@ucm.es" TargetMode="External"/><Relationship Id="rId14" Type="http://schemas.openxmlformats.org/officeDocument/2006/relationships/hyperlink" Target="http://www.diazdesantos.es/libros/buscador/index_avanzado.php?cod_autor=213743&amp;autor=Markey,%20B.K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P A R T A M E N T O    D E    P R O D U C C I Ó N    A N I M A L</vt:lpstr>
    </vt:vector>
  </TitlesOfParts>
  <Company>Universidad Complutense de Madrid - Veterinaria</Company>
  <LinksUpToDate>false</LinksUpToDate>
  <CharactersWithSpaces>9534</CharactersWithSpaces>
  <SharedDoc>false</SharedDoc>
  <HLinks>
    <vt:vector size="48" baseType="variant">
      <vt:variant>
        <vt:i4>7274542</vt:i4>
      </vt:variant>
      <vt:variant>
        <vt:i4>21</vt:i4>
      </vt:variant>
      <vt:variant>
        <vt:i4>0</vt:i4>
      </vt:variant>
      <vt:variant>
        <vt:i4>5</vt:i4>
      </vt:variant>
      <vt:variant>
        <vt:lpwstr>http://www.diazdesantos.es/libros/buscador/index_avanzado.php?cod_autor=336385&amp;autor=Leonard,%20F.C.</vt:lpwstr>
      </vt:variant>
      <vt:variant>
        <vt:lpwstr/>
      </vt:variant>
      <vt:variant>
        <vt:i4>1114124</vt:i4>
      </vt:variant>
      <vt:variant>
        <vt:i4>18</vt:i4>
      </vt:variant>
      <vt:variant>
        <vt:i4>0</vt:i4>
      </vt:variant>
      <vt:variant>
        <vt:i4>5</vt:i4>
      </vt:variant>
      <vt:variant>
        <vt:lpwstr>http://www.diazdesantos.es/libros/buscador/index_avanzado.php?cod_autor=213743&amp;autor=Markey,%20B.K.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http://www.diazdesantos.es/libros/buscador/index_avanzado.php?cod_autor=145957&amp;autor=Quinn,%20P.J.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mailto:bgzorn@ucm.es</vt:lpwstr>
      </vt:variant>
      <vt:variant>
        <vt:lpwstr/>
      </vt:variant>
      <vt:variant>
        <vt:i4>655402</vt:i4>
      </vt:variant>
      <vt:variant>
        <vt:i4>9</vt:i4>
      </vt:variant>
      <vt:variant>
        <vt:i4>0</vt:i4>
      </vt:variant>
      <vt:variant>
        <vt:i4>5</vt:i4>
      </vt:variant>
      <vt:variant>
        <vt:lpwstr>mailto:mtcutuli@ucm.es</vt:lpwstr>
      </vt:variant>
      <vt:variant>
        <vt:lpwstr/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>mailto:mmblanco@ucm.es</vt:lpwstr>
      </vt:variant>
      <vt:variant>
        <vt:lpwstr/>
      </vt:variant>
      <vt:variant>
        <vt:i4>1835069</vt:i4>
      </vt:variant>
      <vt:variant>
        <vt:i4>3</vt:i4>
      </vt:variant>
      <vt:variant>
        <vt:i4>0</vt:i4>
      </vt:variant>
      <vt:variant>
        <vt:i4>5</vt:i4>
      </vt:variant>
      <vt:variant>
        <vt:lpwstr>mailto:alaranaz@ucm.es</vt:lpwstr>
      </vt:variant>
      <vt:variant>
        <vt:lpwstr/>
      </vt:variant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mailto:amateos@vet.ucm.es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P A R T A M E N T O    D E    P R O D U C C I Ó N    A N I M A L</dc:title>
  <dc:creator>Pedro Fernando Rouco Pérez</dc:creator>
  <cp:lastModifiedBy>Sonia</cp:lastModifiedBy>
  <cp:revision>2</cp:revision>
  <cp:lastPrinted>2007-03-07T12:01:00Z</cp:lastPrinted>
  <dcterms:created xsi:type="dcterms:W3CDTF">2013-06-28T11:36:00Z</dcterms:created>
  <dcterms:modified xsi:type="dcterms:W3CDTF">2013-06-28T11:36:00Z</dcterms:modified>
</cp:coreProperties>
</file>